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80D" w:rsidRPr="00707868" w:rsidRDefault="002366A0" w:rsidP="002366A0">
      <w:pPr>
        <w:keepNext/>
        <w:overflowPunct w:val="0"/>
        <w:autoSpaceDE w:val="0"/>
        <w:autoSpaceDN w:val="0"/>
        <w:adjustRightInd w:val="0"/>
        <w:spacing w:after="40" w:line="240" w:lineRule="auto"/>
        <w:textAlignment w:val="baseline"/>
        <w:outlineLvl w:val="0"/>
        <w:rPr>
          <w:rFonts w:eastAsia="Times New Roman" w:cs="Times New Roman"/>
          <w:b/>
          <w:color w:val="0065BD"/>
          <w:kern w:val="32"/>
          <w:sz w:val="24"/>
          <w:szCs w:val="32"/>
          <w:lang w:val="en-US" w:eastAsia="de-DE"/>
        </w:rPr>
      </w:pPr>
      <w:r>
        <w:rPr>
          <w:rFonts w:eastAsia="Times New Roman" w:cs="Times New Roman"/>
          <w:b/>
          <w:color w:val="0065BD"/>
          <w:kern w:val="32"/>
          <w:sz w:val="24"/>
          <w:szCs w:val="32"/>
          <w:lang w:val="en-US" w:eastAsia="de-DE"/>
        </w:rPr>
        <w:t xml:space="preserve">Prof. Dirk </w:t>
      </w:r>
      <w:r w:rsidR="0010580D" w:rsidRPr="00707868">
        <w:rPr>
          <w:rFonts w:eastAsia="Times New Roman" w:cs="Times New Roman"/>
          <w:b/>
          <w:color w:val="0065BD"/>
          <w:kern w:val="32"/>
          <w:sz w:val="24"/>
          <w:szCs w:val="32"/>
          <w:lang w:val="en-US" w:eastAsia="de-DE"/>
        </w:rPr>
        <w:t>Haller</w:t>
      </w:r>
    </w:p>
    <w:p w:rsidR="0010580D" w:rsidRPr="00707868" w:rsidRDefault="0010580D" w:rsidP="001058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MS PMincho"/>
          <w:color w:val="0065C6"/>
          <w:sz w:val="20"/>
          <w:szCs w:val="20"/>
          <w:lang w:val="en-US" w:eastAsia="ja-JP"/>
        </w:rPr>
      </w:pPr>
    </w:p>
    <w:p w:rsidR="0010580D" w:rsidRPr="00707868" w:rsidRDefault="0010580D" w:rsidP="0010580D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eastAsia="MS PMincho"/>
          <w:color w:val="000000"/>
          <w:sz w:val="20"/>
          <w:szCs w:val="20"/>
          <w:lang w:val="en-US"/>
        </w:rPr>
      </w:pPr>
      <w:r w:rsidRPr="00707868">
        <w:rPr>
          <w:rFonts w:eastAsia="MS PMincho"/>
          <w:color w:val="000000"/>
          <w:sz w:val="20"/>
          <w:szCs w:val="20"/>
          <w:lang w:val="en-US"/>
        </w:rPr>
        <w:t>Technical University of Munich</w:t>
      </w:r>
    </w:p>
    <w:p w:rsidR="0010580D" w:rsidRPr="00707868" w:rsidRDefault="0010580D" w:rsidP="0010580D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eastAsia="MS PMincho"/>
          <w:color w:val="000000"/>
          <w:sz w:val="20"/>
          <w:szCs w:val="20"/>
          <w:lang w:val="en-US"/>
        </w:rPr>
      </w:pPr>
      <w:r w:rsidRPr="00707868">
        <w:rPr>
          <w:rFonts w:eastAsia="MS PMincho"/>
          <w:color w:val="000000"/>
          <w:sz w:val="20"/>
          <w:szCs w:val="20"/>
          <w:lang w:val="en-GB"/>
        </w:rPr>
        <w:t>TUM School of Life Sciences Weihenstephan</w:t>
      </w:r>
      <w:r w:rsidRPr="00707868">
        <w:rPr>
          <w:rFonts w:eastAsia="MS PMincho"/>
          <w:color w:val="000000"/>
          <w:sz w:val="20"/>
          <w:szCs w:val="20"/>
          <w:lang w:val="en-US"/>
        </w:rPr>
        <w:t xml:space="preserve"> </w:t>
      </w:r>
    </w:p>
    <w:p w:rsidR="0010580D" w:rsidRPr="00707868" w:rsidRDefault="0010580D" w:rsidP="0010580D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eastAsia="MS PMincho"/>
          <w:color w:val="000000"/>
          <w:sz w:val="20"/>
          <w:szCs w:val="20"/>
          <w:lang w:val="en-US"/>
        </w:rPr>
      </w:pPr>
      <w:r w:rsidRPr="00707868">
        <w:rPr>
          <w:rFonts w:eastAsia="MS PMincho"/>
          <w:color w:val="000000"/>
          <w:sz w:val="20"/>
          <w:szCs w:val="20"/>
          <w:lang w:val="en-US"/>
        </w:rPr>
        <w:t>Chair of Nutrition and Immunology</w:t>
      </w:r>
    </w:p>
    <w:p w:rsidR="0010580D" w:rsidRPr="00707868" w:rsidRDefault="0010580D" w:rsidP="0010580D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eastAsia="MS PMincho"/>
          <w:sz w:val="20"/>
          <w:szCs w:val="20"/>
          <w:lang w:val="en-US"/>
        </w:rPr>
      </w:pPr>
      <w:r w:rsidRPr="00707868">
        <w:rPr>
          <w:rFonts w:eastAsia="MS PMincho"/>
          <w:color w:val="000000"/>
          <w:sz w:val="20"/>
          <w:szCs w:val="20"/>
          <w:lang w:val="en-US"/>
        </w:rPr>
        <w:t>Gregor-Mendel-Str. 2, 85354 Freising-Weihenstephan</w:t>
      </w:r>
    </w:p>
    <w:p w:rsidR="0010580D" w:rsidRPr="00707868" w:rsidRDefault="0010580D" w:rsidP="0010580D">
      <w:pPr>
        <w:keepNext/>
        <w:keepLines/>
        <w:spacing w:before="360" w:after="120" w:line="240" w:lineRule="auto"/>
        <w:outlineLvl w:val="1"/>
        <w:rPr>
          <w:rFonts w:eastAsia="MS PMincho" w:cs="Times New Roman"/>
          <w:b/>
          <w:i/>
          <w:sz w:val="20"/>
          <w:szCs w:val="26"/>
          <w:lang w:val="en-GB"/>
        </w:rPr>
      </w:pPr>
      <w:r w:rsidRPr="00707868">
        <w:rPr>
          <w:rFonts w:eastAsia="MS PMincho" w:cs="Times New Roman"/>
          <w:b/>
          <w:i/>
          <w:sz w:val="20"/>
          <w:szCs w:val="26"/>
          <w:lang w:val="en-GB"/>
        </w:rPr>
        <w:t>Current position</w:t>
      </w:r>
    </w:p>
    <w:p w:rsidR="0010580D" w:rsidRPr="00707868" w:rsidRDefault="0010580D" w:rsidP="001058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MS PMincho"/>
          <w:sz w:val="20"/>
          <w:szCs w:val="20"/>
          <w:lang w:val="en-GB"/>
        </w:rPr>
      </w:pPr>
      <w:r w:rsidRPr="00707868">
        <w:rPr>
          <w:rFonts w:eastAsia="MS PMincho"/>
          <w:sz w:val="20"/>
          <w:szCs w:val="20"/>
          <w:lang w:val="en-GB"/>
        </w:rPr>
        <w:t>Chair of Nutrition and Immunology (W3 Professor), TUM School of Life Sciences Weihenstephan; Director of ZIEL - Institute for Food &amp; Health, Technical University of Munich</w:t>
      </w:r>
    </w:p>
    <w:p w:rsidR="0010580D" w:rsidRPr="00707868" w:rsidRDefault="0010580D" w:rsidP="0010580D">
      <w:pPr>
        <w:keepNext/>
        <w:keepLines/>
        <w:spacing w:before="360" w:after="120" w:line="240" w:lineRule="auto"/>
        <w:outlineLvl w:val="1"/>
        <w:rPr>
          <w:rFonts w:eastAsia="MS PMincho" w:cs="Times New Roman"/>
          <w:b/>
          <w:i/>
          <w:sz w:val="20"/>
          <w:szCs w:val="26"/>
          <w:lang w:val="en-GB"/>
        </w:rPr>
      </w:pPr>
      <w:r w:rsidRPr="00707868">
        <w:rPr>
          <w:rFonts w:eastAsia="MS PMincho" w:cs="Times New Roman"/>
          <w:b/>
          <w:i/>
          <w:sz w:val="20"/>
          <w:szCs w:val="26"/>
          <w:lang w:val="en-GB"/>
        </w:rPr>
        <w:t xml:space="preserve">Academic </w:t>
      </w:r>
      <w:r>
        <w:rPr>
          <w:rFonts w:eastAsia="MS PMincho" w:cs="Times New Roman"/>
          <w:b/>
          <w:i/>
          <w:sz w:val="20"/>
          <w:szCs w:val="26"/>
          <w:lang w:val="en-GB"/>
        </w:rPr>
        <w:t>Education</w:t>
      </w:r>
    </w:p>
    <w:p w:rsidR="0010580D" w:rsidRPr="00707868" w:rsidRDefault="0010580D" w:rsidP="0010580D">
      <w:pPr>
        <w:tabs>
          <w:tab w:val="left" w:pos="1985"/>
        </w:tabs>
        <w:spacing w:after="40" w:line="240" w:lineRule="auto"/>
        <w:ind w:left="2268" w:hanging="2268"/>
        <w:jc w:val="both"/>
        <w:rPr>
          <w:rFonts w:eastAsia="Times New Roman"/>
          <w:color w:val="000000"/>
          <w:sz w:val="20"/>
          <w:szCs w:val="20"/>
          <w:lang w:val="en-GB" w:eastAsia="de-DE"/>
        </w:rPr>
      </w:pPr>
      <w:r w:rsidRPr="00707868">
        <w:rPr>
          <w:rFonts w:eastAsia="Times New Roman"/>
          <w:color w:val="000000"/>
          <w:sz w:val="20"/>
          <w:szCs w:val="20"/>
          <w:lang w:val="en-GB" w:eastAsia="de-DE"/>
        </w:rPr>
        <w:t>1990 - 1997</w:t>
      </w:r>
      <w:r w:rsidRPr="00707868">
        <w:rPr>
          <w:rFonts w:eastAsia="Times New Roman"/>
          <w:color w:val="000000"/>
          <w:sz w:val="20"/>
          <w:szCs w:val="20"/>
          <w:lang w:val="en-GB" w:eastAsia="de-DE"/>
        </w:rPr>
        <w:tab/>
      </w:r>
      <w:r w:rsidRPr="00707868">
        <w:rPr>
          <w:rFonts w:eastAsia="Times New Roman"/>
          <w:color w:val="000000"/>
          <w:sz w:val="20"/>
          <w:szCs w:val="20"/>
          <w:lang w:val="en-GB" w:eastAsia="de-DE"/>
        </w:rPr>
        <w:tab/>
        <w:t>Food Technology, University of Hohenheim</w:t>
      </w:r>
    </w:p>
    <w:p w:rsidR="0010580D" w:rsidRPr="00707868" w:rsidRDefault="0010580D" w:rsidP="0010580D">
      <w:pPr>
        <w:tabs>
          <w:tab w:val="left" w:pos="1985"/>
        </w:tabs>
        <w:spacing w:after="40" w:line="240" w:lineRule="auto"/>
        <w:ind w:left="2268" w:hanging="2268"/>
        <w:jc w:val="both"/>
        <w:rPr>
          <w:rFonts w:eastAsia="Times New Roman"/>
          <w:color w:val="000000"/>
          <w:sz w:val="20"/>
          <w:szCs w:val="20"/>
          <w:lang w:val="en-GB" w:eastAsia="de-DE"/>
        </w:rPr>
      </w:pPr>
      <w:r w:rsidRPr="00707868">
        <w:rPr>
          <w:rFonts w:eastAsia="Times New Roman"/>
          <w:color w:val="000000"/>
          <w:sz w:val="20"/>
          <w:szCs w:val="20"/>
          <w:lang w:val="en-GB" w:eastAsia="de-DE"/>
        </w:rPr>
        <w:t>1993 - 1996</w:t>
      </w:r>
      <w:r w:rsidRPr="00707868">
        <w:rPr>
          <w:rFonts w:eastAsia="Times New Roman"/>
          <w:color w:val="000000"/>
          <w:sz w:val="20"/>
          <w:szCs w:val="20"/>
          <w:lang w:val="en-GB" w:eastAsia="de-DE"/>
        </w:rPr>
        <w:tab/>
      </w:r>
      <w:r w:rsidRPr="00707868">
        <w:rPr>
          <w:rFonts w:eastAsia="Times New Roman"/>
          <w:color w:val="000000"/>
          <w:sz w:val="20"/>
          <w:szCs w:val="20"/>
          <w:lang w:val="en-GB" w:eastAsia="de-DE"/>
        </w:rPr>
        <w:tab/>
        <w:t>Nutrition Science, University of Hohenheim</w:t>
      </w:r>
    </w:p>
    <w:p w:rsidR="0010580D" w:rsidRPr="00707868" w:rsidRDefault="0010580D" w:rsidP="0010580D">
      <w:pPr>
        <w:tabs>
          <w:tab w:val="left" w:pos="1985"/>
        </w:tabs>
        <w:spacing w:after="40" w:line="240" w:lineRule="auto"/>
        <w:ind w:left="2268" w:hanging="2268"/>
        <w:jc w:val="both"/>
        <w:rPr>
          <w:rFonts w:eastAsia="Times New Roman"/>
          <w:color w:val="000000"/>
          <w:sz w:val="20"/>
          <w:szCs w:val="20"/>
          <w:lang w:val="en-GB" w:eastAsia="de-DE"/>
        </w:rPr>
      </w:pPr>
      <w:r>
        <w:rPr>
          <w:rFonts w:eastAsia="Times New Roman"/>
          <w:color w:val="000000"/>
          <w:sz w:val="20"/>
          <w:szCs w:val="20"/>
          <w:lang w:val="en-US" w:eastAsia="de-DE"/>
        </w:rPr>
        <w:t>1999</w:t>
      </w:r>
      <w:r w:rsidRPr="00707868">
        <w:rPr>
          <w:rFonts w:eastAsia="Times New Roman"/>
          <w:color w:val="000000"/>
          <w:sz w:val="20"/>
          <w:szCs w:val="20"/>
          <w:lang w:val="en-US" w:eastAsia="de-DE"/>
        </w:rPr>
        <w:tab/>
      </w:r>
      <w:r w:rsidRPr="00707868">
        <w:rPr>
          <w:rFonts w:eastAsia="Times New Roman"/>
          <w:color w:val="000000"/>
          <w:sz w:val="20"/>
          <w:szCs w:val="20"/>
          <w:lang w:val="en-US" w:eastAsia="de-DE"/>
        </w:rPr>
        <w:tab/>
        <w:t xml:space="preserve">Dr. rer. nat.; </w:t>
      </w:r>
      <w:r w:rsidRPr="00707868">
        <w:rPr>
          <w:rFonts w:eastAsia="Times New Roman"/>
          <w:color w:val="000000"/>
          <w:sz w:val="20"/>
          <w:szCs w:val="20"/>
          <w:lang w:val="en-GB" w:eastAsia="de-DE"/>
        </w:rPr>
        <w:t>Modulation of the immune response by non-pathogenic bacteria</w:t>
      </w:r>
    </w:p>
    <w:p w:rsidR="0010580D" w:rsidRPr="00707868" w:rsidRDefault="0010580D" w:rsidP="0010580D">
      <w:pPr>
        <w:keepNext/>
        <w:keepLines/>
        <w:spacing w:before="360" w:after="120" w:line="240" w:lineRule="auto"/>
        <w:outlineLvl w:val="1"/>
        <w:rPr>
          <w:rFonts w:eastAsia="MS PMincho" w:cs="Times New Roman"/>
          <w:b/>
          <w:i/>
          <w:sz w:val="20"/>
          <w:szCs w:val="26"/>
          <w:lang w:val="en-GB"/>
        </w:rPr>
      </w:pPr>
      <w:r w:rsidRPr="00707868">
        <w:rPr>
          <w:rFonts w:eastAsia="MS PMincho" w:cs="Times New Roman"/>
          <w:b/>
          <w:i/>
          <w:sz w:val="20"/>
          <w:szCs w:val="26"/>
          <w:lang w:val="en-GB"/>
        </w:rPr>
        <w:t>Postgraduate positions</w:t>
      </w:r>
    </w:p>
    <w:p w:rsidR="0010580D" w:rsidRPr="002366A0" w:rsidRDefault="0010580D" w:rsidP="0010580D">
      <w:pPr>
        <w:tabs>
          <w:tab w:val="left" w:pos="1985"/>
        </w:tabs>
        <w:spacing w:after="40" w:line="240" w:lineRule="auto"/>
        <w:ind w:left="2268" w:hanging="2268"/>
        <w:jc w:val="both"/>
        <w:rPr>
          <w:rFonts w:eastAsia="Times New Roman"/>
          <w:color w:val="000000"/>
          <w:sz w:val="18"/>
          <w:szCs w:val="18"/>
          <w:lang w:val="en-GB" w:eastAsia="de-DE"/>
        </w:rPr>
      </w:pPr>
      <w:r w:rsidRPr="002366A0">
        <w:rPr>
          <w:rFonts w:eastAsia="Times New Roman"/>
          <w:color w:val="000000"/>
          <w:sz w:val="18"/>
          <w:szCs w:val="18"/>
          <w:lang w:val="en-GB" w:eastAsia="de-DE"/>
        </w:rPr>
        <w:t>2014 to date</w:t>
      </w:r>
      <w:r w:rsidRPr="002366A0">
        <w:rPr>
          <w:rFonts w:eastAsia="Times New Roman"/>
          <w:color w:val="000000"/>
          <w:sz w:val="18"/>
          <w:szCs w:val="18"/>
          <w:lang w:val="en-GB" w:eastAsia="de-DE"/>
        </w:rPr>
        <w:tab/>
      </w:r>
      <w:r w:rsidRPr="002366A0">
        <w:rPr>
          <w:rFonts w:eastAsia="Times New Roman"/>
          <w:color w:val="000000"/>
          <w:sz w:val="18"/>
          <w:szCs w:val="18"/>
          <w:lang w:val="en-GB" w:eastAsia="de-DE"/>
        </w:rPr>
        <w:tab/>
        <w:t>Director of ZIEL - Institute for Food &amp; Health, Technical University of Munich/Germany</w:t>
      </w:r>
    </w:p>
    <w:p w:rsidR="0010580D" w:rsidRPr="002366A0" w:rsidRDefault="0010580D" w:rsidP="0010580D">
      <w:pPr>
        <w:tabs>
          <w:tab w:val="left" w:pos="1985"/>
        </w:tabs>
        <w:spacing w:after="40" w:line="240" w:lineRule="auto"/>
        <w:ind w:left="2268" w:hanging="2268"/>
        <w:jc w:val="both"/>
        <w:rPr>
          <w:rFonts w:eastAsia="Times New Roman"/>
          <w:color w:val="000000"/>
          <w:sz w:val="18"/>
          <w:szCs w:val="18"/>
          <w:lang w:val="en-GB" w:eastAsia="de-DE"/>
        </w:rPr>
      </w:pPr>
      <w:r w:rsidRPr="002366A0">
        <w:rPr>
          <w:rFonts w:eastAsia="Times New Roman"/>
          <w:color w:val="000000"/>
          <w:sz w:val="18"/>
          <w:szCs w:val="18"/>
          <w:lang w:val="en-GB" w:eastAsia="de-DE"/>
        </w:rPr>
        <w:t>2008 to date</w:t>
      </w:r>
      <w:r w:rsidRPr="002366A0">
        <w:rPr>
          <w:rFonts w:eastAsia="Times New Roman"/>
          <w:color w:val="000000"/>
          <w:sz w:val="18"/>
          <w:szCs w:val="18"/>
          <w:lang w:val="en-GB" w:eastAsia="de-DE"/>
        </w:rPr>
        <w:tab/>
      </w:r>
      <w:r w:rsidRPr="002366A0">
        <w:rPr>
          <w:rFonts w:eastAsia="Times New Roman"/>
          <w:color w:val="000000"/>
          <w:sz w:val="18"/>
          <w:szCs w:val="18"/>
          <w:lang w:val="en-GB" w:eastAsia="de-DE"/>
        </w:rPr>
        <w:tab/>
        <w:t>Full Professor (W3) at the Technical University of Munich/Germany, Nutrion and Immunology (Chair)</w:t>
      </w:r>
    </w:p>
    <w:p w:rsidR="0010580D" w:rsidRPr="002366A0" w:rsidRDefault="0010580D" w:rsidP="0010580D">
      <w:pPr>
        <w:tabs>
          <w:tab w:val="left" w:pos="1985"/>
        </w:tabs>
        <w:spacing w:after="40" w:line="240" w:lineRule="auto"/>
        <w:ind w:left="2268" w:hanging="2268"/>
        <w:jc w:val="both"/>
        <w:rPr>
          <w:rFonts w:eastAsia="Times New Roman"/>
          <w:color w:val="000000"/>
          <w:sz w:val="18"/>
          <w:szCs w:val="18"/>
          <w:lang w:val="en-GB" w:eastAsia="de-DE"/>
        </w:rPr>
      </w:pPr>
      <w:r w:rsidRPr="002366A0">
        <w:rPr>
          <w:rFonts w:eastAsia="Times New Roman"/>
          <w:color w:val="000000"/>
          <w:sz w:val="18"/>
          <w:szCs w:val="18"/>
          <w:lang w:val="en-GB" w:eastAsia="de-DE"/>
        </w:rPr>
        <w:t>2007 - 2016</w:t>
      </w:r>
      <w:r w:rsidRPr="002366A0">
        <w:rPr>
          <w:rFonts w:eastAsia="Times New Roman"/>
          <w:color w:val="000000"/>
          <w:sz w:val="18"/>
          <w:szCs w:val="18"/>
          <w:lang w:val="en-GB" w:eastAsia="de-DE"/>
        </w:rPr>
        <w:tab/>
      </w:r>
      <w:r w:rsidRPr="002366A0">
        <w:rPr>
          <w:rFonts w:eastAsia="Times New Roman"/>
          <w:color w:val="000000"/>
          <w:sz w:val="18"/>
          <w:szCs w:val="18"/>
          <w:lang w:val="en-GB" w:eastAsia="de-DE"/>
        </w:rPr>
        <w:tab/>
        <w:t>Head of Department, Nutrition and Food Sciences</w:t>
      </w:r>
    </w:p>
    <w:p w:rsidR="0010580D" w:rsidRPr="002366A0" w:rsidRDefault="0010580D" w:rsidP="0010580D">
      <w:pPr>
        <w:pStyle w:val="FormatvorlageProfilLinks0cmHngend317cm"/>
        <w:ind w:left="2268" w:hanging="2268"/>
        <w:rPr>
          <w:rFonts w:cs="Arial"/>
          <w:sz w:val="18"/>
          <w:szCs w:val="18"/>
        </w:rPr>
      </w:pPr>
      <w:r w:rsidRPr="002366A0">
        <w:rPr>
          <w:rFonts w:cs="Arial"/>
          <w:sz w:val="18"/>
          <w:szCs w:val="18"/>
        </w:rPr>
        <w:t>2007</w:t>
      </w:r>
      <w:r w:rsidRPr="002366A0">
        <w:rPr>
          <w:rFonts w:cs="Arial"/>
          <w:sz w:val="18"/>
          <w:szCs w:val="18"/>
        </w:rPr>
        <w:tab/>
        <w:t xml:space="preserve">Declined Full Professorship at ETH Zürich/Switzerland, </w:t>
      </w:r>
    </w:p>
    <w:p w:rsidR="0010580D" w:rsidRPr="002366A0" w:rsidRDefault="0010580D" w:rsidP="0010580D">
      <w:pPr>
        <w:pStyle w:val="FormatvorlageProfilLinks0cmHngend317cm"/>
        <w:ind w:left="2268"/>
        <w:rPr>
          <w:rFonts w:cs="Arial"/>
          <w:sz w:val="18"/>
          <w:szCs w:val="18"/>
        </w:rPr>
      </w:pPr>
      <w:r w:rsidRPr="002366A0">
        <w:rPr>
          <w:rFonts w:cs="Arial"/>
          <w:sz w:val="18"/>
          <w:szCs w:val="18"/>
        </w:rPr>
        <w:t>Nutritional Biochemistry (Chair)</w:t>
      </w:r>
    </w:p>
    <w:p w:rsidR="0010580D" w:rsidRPr="002366A0" w:rsidRDefault="0010580D" w:rsidP="0010580D">
      <w:pPr>
        <w:tabs>
          <w:tab w:val="left" w:pos="1985"/>
        </w:tabs>
        <w:spacing w:after="40" w:line="240" w:lineRule="auto"/>
        <w:ind w:left="2268" w:hanging="2268"/>
        <w:jc w:val="both"/>
        <w:rPr>
          <w:rFonts w:eastAsia="Times New Roman"/>
          <w:color w:val="000000"/>
          <w:sz w:val="18"/>
          <w:szCs w:val="18"/>
          <w:lang w:val="en-GB" w:eastAsia="de-DE"/>
        </w:rPr>
      </w:pPr>
      <w:r w:rsidRPr="002366A0">
        <w:rPr>
          <w:rFonts w:eastAsia="Times New Roman"/>
          <w:color w:val="000000"/>
          <w:sz w:val="18"/>
          <w:szCs w:val="18"/>
          <w:lang w:val="en-GB" w:eastAsia="de-DE"/>
        </w:rPr>
        <w:t>2006 - 2008</w:t>
      </w:r>
      <w:r w:rsidRPr="002366A0">
        <w:rPr>
          <w:rFonts w:eastAsia="Times New Roman"/>
          <w:color w:val="000000"/>
          <w:sz w:val="18"/>
          <w:szCs w:val="18"/>
          <w:lang w:val="en-GB" w:eastAsia="de-DE"/>
        </w:rPr>
        <w:tab/>
      </w:r>
      <w:r w:rsidRPr="002366A0">
        <w:rPr>
          <w:rFonts w:eastAsia="Times New Roman"/>
          <w:color w:val="000000"/>
          <w:sz w:val="18"/>
          <w:szCs w:val="18"/>
          <w:lang w:val="en-GB" w:eastAsia="de-DE"/>
        </w:rPr>
        <w:tab/>
        <w:t xml:space="preserve">Associate Professor (W2) at the Technical University of Munich/Germany, Experimental Nutritional Medicine </w:t>
      </w:r>
    </w:p>
    <w:p w:rsidR="0010580D" w:rsidRPr="002366A0" w:rsidRDefault="0010580D" w:rsidP="0010580D">
      <w:pPr>
        <w:spacing w:after="0" w:line="240" w:lineRule="auto"/>
        <w:ind w:left="2268" w:hanging="2268"/>
        <w:rPr>
          <w:b/>
          <w:sz w:val="18"/>
          <w:szCs w:val="18"/>
          <w:lang w:val="en-GB"/>
        </w:rPr>
      </w:pPr>
      <w:r w:rsidRPr="002366A0">
        <w:rPr>
          <w:sz w:val="18"/>
          <w:szCs w:val="18"/>
          <w:lang w:val="en-US"/>
        </w:rPr>
        <w:t>2005</w:t>
      </w:r>
      <w:r w:rsidRPr="002366A0">
        <w:rPr>
          <w:sz w:val="18"/>
          <w:szCs w:val="18"/>
          <w:lang w:val="en-US"/>
        </w:rPr>
        <w:tab/>
      </w:r>
      <w:r w:rsidRPr="002366A0">
        <w:rPr>
          <w:sz w:val="18"/>
          <w:szCs w:val="18"/>
          <w:lang w:val="en-GB"/>
        </w:rPr>
        <w:t>Declined Associate Professorship at University of Alberta/Canada, Department of Medicine</w:t>
      </w:r>
    </w:p>
    <w:p w:rsidR="0010580D" w:rsidRPr="002366A0" w:rsidRDefault="0010580D" w:rsidP="0010580D">
      <w:pPr>
        <w:tabs>
          <w:tab w:val="left" w:pos="1985"/>
        </w:tabs>
        <w:spacing w:after="40" w:line="240" w:lineRule="auto"/>
        <w:ind w:left="2268" w:hanging="2268"/>
        <w:jc w:val="both"/>
        <w:rPr>
          <w:rFonts w:eastAsia="Times New Roman"/>
          <w:color w:val="000000"/>
          <w:sz w:val="18"/>
          <w:szCs w:val="18"/>
          <w:lang w:val="en-GB" w:eastAsia="de-DE"/>
        </w:rPr>
      </w:pPr>
      <w:r w:rsidRPr="002366A0">
        <w:rPr>
          <w:rFonts w:eastAsia="Times New Roman"/>
          <w:color w:val="000000"/>
          <w:sz w:val="18"/>
          <w:szCs w:val="18"/>
          <w:lang w:val="en-GB" w:eastAsia="de-DE"/>
        </w:rPr>
        <w:t>2003 - 2006</w:t>
      </w:r>
      <w:r w:rsidRPr="002366A0">
        <w:rPr>
          <w:rFonts w:eastAsia="Times New Roman"/>
          <w:color w:val="000000"/>
          <w:sz w:val="18"/>
          <w:szCs w:val="18"/>
          <w:lang w:val="en-GB" w:eastAsia="de-DE"/>
        </w:rPr>
        <w:tab/>
      </w:r>
      <w:r w:rsidRPr="002366A0">
        <w:rPr>
          <w:rFonts w:eastAsia="Times New Roman"/>
          <w:color w:val="000000"/>
          <w:sz w:val="18"/>
          <w:szCs w:val="18"/>
          <w:lang w:val="en-GB" w:eastAsia="de-DE"/>
        </w:rPr>
        <w:tab/>
        <w:t>DFG Emmy Noether Group, Technical University of Munich/Germany</w:t>
      </w:r>
    </w:p>
    <w:p w:rsidR="0010580D" w:rsidRPr="002366A0" w:rsidRDefault="0010580D" w:rsidP="0010580D">
      <w:pPr>
        <w:tabs>
          <w:tab w:val="left" w:pos="1985"/>
        </w:tabs>
        <w:spacing w:after="40" w:line="240" w:lineRule="auto"/>
        <w:ind w:left="2268" w:hanging="2268"/>
        <w:jc w:val="both"/>
        <w:rPr>
          <w:rFonts w:eastAsia="Times New Roman"/>
          <w:color w:val="000000"/>
          <w:sz w:val="18"/>
          <w:szCs w:val="18"/>
          <w:lang w:val="en-GB" w:eastAsia="de-DE"/>
        </w:rPr>
      </w:pPr>
      <w:r w:rsidRPr="002366A0">
        <w:rPr>
          <w:rFonts w:eastAsia="Times New Roman"/>
          <w:color w:val="000000"/>
          <w:sz w:val="18"/>
          <w:szCs w:val="18"/>
          <w:lang w:val="en-GB" w:eastAsia="de-DE"/>
        </w:rPr>
        <w:t xml:space="preserve">2001 - 2002 </w:t>
      </w:r>
      <w:r w:rsidRPr="002366A0">
        <w:rPr>
          <w:rFonts w:eastAsia="Times New Roman"/>
          <w:color w:val="000000"/>
          <w:sz w:val="18"/>
          <w:szCs w:val="18"/>
          <w:lang w:val="en-GB" w:eastAsia="de-DE"/>
        </w:rPr>
        <w:tab/>
      </w:r>
      <w:r w:rsidRPr="002366A0">
        <w:rPr>
          <w:rFonts w:eastAsia="Times New Roman"/>
          <w:color w:val="000000"/>
          <w:sz w:val="18"/>
          <w:szCs w:val="18"/>
          <w:lang w:val="en-GB" w:eastAsia="de-DE"/>
        </w:rPr>
        <w:tab/>
        <w:t>DFG Emmy Noether research fellow at the University of North Carolina/USA, Department of Medicine</w:t>
      </w:r>
    </w:p>
    <w:p w:rsidR="0010580D" w:rsidRPr="002366A0" w:rsidRDefault="0010580D" w:rsidP="0010580D">
      <w:pPr>
        <w:tabs>
          <w:tab w:val="left" w:pos="1985"/>
        </w:tabs>
        <w:spacing w:after="40" w:line="240" w:lineRule="auto"/>
        <w:ind w:left="2268" w:hanging="2268"/>
        <w:jc w:val="both"/>
        <w:rPr>
          <w:rFonts w:eastAsia="Times New Roman"/>
          <w:color w:val="000000"/>
          <w:sz w:val="18"/>
          <w:szCs w:val="18"/>
          <w:lang w:val="en-GB" w:eastAsia="de-DE"/>
        </w:rPr>
      </w:pPr>
      <w:r w:rsidRPr="002366A0">
        <w:rPr>
          <w:rFonts w:eastAsia="Times New Roman"/>
          <w:color w:val="000000"/>
          <w:sz w:val="18"/>
          <w:szCs w:val="18"/>
          <w:lang w:val="en-GB" w:eastAsia="de-DE"/>
        </w:rPr>
        <w:t>1999 - 2000</w:t>
      </w:r>
      <w:r w:rsidRPr="002366A0">
        <w:rPr>
          <w:rFonts w:eastAsia="Times New Roman"/>
          <w:color w:val="000000"/>
          <w:sz w:val="18"/>
          <w:szCs w:val="18"/>
          <w:lang w:val="en-GB" w:eastAsia="de-DE"/>
        </w:rPr>
        <w:tab/>
      </w:r>
      <w:r w:rsidRPr="002366A0">
        <w:rPr>
          <w:rFonts w:eastAsia="Times New Roman"/>
          <w:color w:val="000000"/>
          <w:sz w:val="18"/>
          <w:szCs w:val="18"/>
          <w:lang w:val="en-GB" w:eastAsia="de-DE"/>
        </w:rPr>
        <w:tab/>
        <w:t>Scientist at Nestlé Research Center in Lausanne/Switzerland, Department of Immunology</w:t>
      </w:r>
    </w:p>
    <w:p w:rsidR="00F33A56" w:rsidRPr="00707868" w:rsidRDefault="00F33A56" w:rsidP="00F33A56">
      <w:pPr>
        <w:keepNext/>
        <w:keepLines/>
        <w:spacing w:before="360" w:after="120" w:line="240" w:lineRule="auto"/>
        <w:outlineLvl w:val="1"/>
        <w:rPr>
          <w:rFonts w:eastAsia="MS PMincho" w:cs="Times New Roman"/>
          <w:b/>
          <w:i/>
          <w:sz w:val="20"/>
          <w:szCs w:val="26"/>
          <w:lang w:val="en-GB"/>
        </w:rPr>
      </w:pPr>
      <w:r w:rsidRPr="00707868">
        <w:rPr>
          <w:rFonts w:eastAsia="MS PMincho" w:cs="Times New Roman"/>
          <w:b/>
          <w:i/>
          <w:sz w:val="20"/>
          <w:szCs w:val="26"/>
          <w:lang w:val="en-GB"/>
        </w:rPr>
        <w:t>Honors, awards and professional activities</w:t>
      </w:r>
    </w:p>
    <w:p w:rsidR="004C2CB6" w:rsidRPr="002366A0" w:rsidRDefault="004C2CB6" w:rsidP="00F33A56">
      <w:pPr>
        <w:tabs>
          <w:tab w:val="left" w:pos="2268"/>
        </w:tabs>
        <w:spacing w:after="40" w:line="240" w:lineRule="auto"/>
        <w:ind w:left="2268" w:hanging="2268"/>
        <w:jc w:val="both"/>
        <w:rPr>
          <w:rFonts w:eastAsia="MS PMincho"/>
          <w:bCs/>
          <w:sz w:val="18"/>
          <w:szCs w:val="18"/>
          <w:lang w:val="en-GB"/>
        </w:rPr>
      </w:pPr>
      <w:bookmarkStart w:id="0" w:name="_GoBack"/>
      <w:r w:rsidRPr="002366A0">
        <w:rPr>
          <w:rFonts w:eastAsia="MS PMincho"/>
          <w:bCs/>
          <w:sz w:val="18"/>
          <w:szCs w:val="18"/>
          <w:lang w:val="en-GB"/>
        </w:rPr>
        <w:t>2019</w:t>
      </w:r>
      <w:r w:rsidRPr="002366A0">
        <w:rPr>
          <w:rFonts w:eastAsia="MS PMincho"/>
          <w:bCs/>
          <w:sz w:val="18"/>
          <w:szCs w:val="18"/>
          <w:lang w:val="en-GB"/>
        </w:rPr>
        <w:tab/>
        <w:t>Coordinator of the DFG Collaborative Research Center (CRC1371) Microbiome Signatures</w:t>
      </w:r>
    </w:p>
    <w:p w:rsidR="004C2CB6" w:rsidRPr="002366A0" w:rsidRDefault="004C2CB6" w:rsidP="00F33A56">
      <w:pPr>
        <w:tabs>
          <w:tab w:val="left" w:pos="2268"/>
        </w:tabs>
        <w:spacing w:after="40" w:line="240" w:lineRule="auto"/>
        <w:ind w:left="2268" w:hanging="2268"/>
        <w:jc w:val="both"/>
        <w:rPr>
          <w:rFonts w:eastAsia="MS PMincho"/>
          <w:bCs/>
          <w:sz w:val="18"/>
          <w:szCs w:val="18"/>
          <w:lang w:val="en-GB"/>
        </w:rPr>
      </w:pPr>
      <w:r w:rsidRPr="002366A0">
        <w:rPr>
          <w:rFonts w:eastAsia="MS PMincho"/>
          <w:bCs/>
          <w:sz w:val="18"/>
          <w:szCs w:val="18"/>
          <w:lang w:val="en-GB"/>
        </w:rPr>
        <w:t>2019</w:t>
      </w:r>
      <w:r w:rsidRPr="002366A0">
        <w:rPr>
          <w:rFonts w:eastAsia="MS PMincho"/>
          <w:bCs/>
          <w:sz w:val="18"/>
          <w:szCs w:val="18"/>
          <w:lang w:val="en-GB"/>
        </w:rPr>
        <w:tab/>
      </w:r>
      <w:r w:rsidRPr="002366A0">
        <w:rPr>
          <w:rFonts w:eastAsia="Times New Roman"/>
          <w:color w:val="000000"/>
          <w:sz w:val="18"/>
          <w:szCs w:val="18"/>
          <w:lang w:val="en-GB"/>
        </w:rPr>
        <w:t>ERC Panel Head, Consolidator Grants</w:t>
      </w:r>
    </w:p>
    <w:p w:rsidR="00F33A56" w:rsidRPr="002366A0" w:rsidRDefault="00F33A56" w:rsidP="00F33A56">
      <w:pPr>
        <w:tabs>
          <w:tab w:val="left" w:pos="2268"/>
        </w:tabs>
        <w:spacing w:after="40" w:line="240" w:lineRule="auto"/>
        <w:ind w:left="2268" w:hanging="2268"/>
        <w:jc w:val="both"/>
        <w:rPr>
          <w:rFonts w:eastAsia="Times New Roman"/>
          <w:color w:val="000000"/>
          <w:sz w:val="18"/>
          <w:szCs w:val="18"/>
          <w:lang w:val="en-GB"/>
        </w:rPr>
      </w:pPr>
      <w:r w:rsidRPr="002366A0">
        <w:rPr>
          <w:rFonts w:eastAsia="MS PMincho"/>
          <w:bCs/>
          <w:sz w:val="18"/>
          <w:szCs w:val="18"/>
          <w:lang w:val="en-GB"/>
        </w:rPr>
        <w:t>2017</w:t>
      </w:r>
      <w:r w:rsidRPr="002366A0">
        <w:rPr>
          <w:rFonts w:eastAsia="MS PMincho"/>
          <w:bCs/>
          <w:sz w:val="18"/>
          <w:szCs w:val="18"/>
          <w:lang w:val="en-GB"/>
        </w:rPr>
        <w:tab/>
      </w:r>
      <w:r w:rsidRPr="002366A0">
        <w:rPr>
          <w:rFonts w:eastAsia="Times New Roman"/>
          <w:color w:val="000000"/>
          <w:sz w:val="18"/>
          <w:szCs w:val="18"/>
          <w:lang w:val="en-GB"/>
        </w:rPr>
        <w:t>ERC Panel Head, Consolidator Grants</w:t>
      </w:r>
    </w:p>
    <w:p w:rsidR="00F33A56" w:rsidRPr="002366A0" w:rsidRDefault="00F33A56" w:rsidP="00F33A56">
      <w:pPr>
        <w:tabs>
          <w:tab w:val="left" w:pos="2268"/>
        </w:tabs>
        <w:spacing w:after="40" w:line="240" w:lineRule="auto"/>
        <w:ind w:left="2268" w:hanging="2268"/>
        <w:jc w:val="both"/>
        <w:rPr>
          <w:rFonts w:eastAsia="Times New Roman"/>
          <w:color w:val="000000"/>
          <w:sz w:val="18"/>
          <w:szCs w:val="18"/>
          <w:lang w:val="en-GB"/>
        </w:rPr>
      </w:pPr>
      <w:r w:rsidRPr="002366A0">
        <w:rPr>
          <w:rFonts w:eastAsia="MS PMincho"/>
          <w:bCs/>
          <w:sz w:val="18"/>
          <w:szCs w:val="18"/>
          <w:lang w:val="en-GB"/>
        </w:rPr>
        <w:t>2017</w:t>
      </w:r>
      <w:r w:rsidRPr="002366A0">
        <w:rPr>
          <w:rFonts w:eastAsia="MS PMincho"/>
          <w:bCs/>
          <w:sz w:val="18"/>
          <w:szCs w:val="18"/>
          <w:lang w:val="en-GB"/>
        </w:rPr>
        <w:tab/>
        <w:t>Board of the German Society of Nutrition (DGE)</w:t>
      </w:r>
    </w:p>
    <w:p w:rsidR="00F33A56" w:rsidRPr="002366A0" w:rsidRDefault="00F33A56" w:rsidP="00F33A56">
      <w:pPr>
        <w:tabs>
          <w:tab w:val="left" w:pos="2268"/>
        </w:tabs>
        <w:spacing w:after="40" w:line="240" w:lineRule="auto"/>
        <w:ind w:left="2268" w:hanging="2268"/>
        <w:jc w:val="both"/>
        <w:rPr>
          <w:rFonts w:eastAsia="Times New Roman"/>
          <w:color w:val="000000"/>
          <w:sz w:val="18"/>
          <w:szCs w:val="18"/>
          <w:lang w:val="en-GB" w:eastAsia="de-DE"/>
        </w:rPr>
      </w:pPr>
      <w:r w:rsidRPr="002366A0">
        <w:rPr>
          <w:rFonts w:eastAsia="Times New Roman"/>
          <w:color w:val="000000"/>
          <w:sz w:val="18"/>
          <w:szCs w:val="18"/>
          <w:lang w:val="en-GB" w:eastAsia="de-DE"/>
        </w:rPr>
        <w:t>2015</w:t>
      </w:r>
      <w:r w:rsidRPr="002366A0">
        <w:rPr>
          <w:rFonts w:eastAsia="Times New Roman"/>
          <w:color w:val="000000"/>
          <w:sz w:val="18"/>
          <w:szCs w:val="18"/>
          <w:lang w:val="en-GB" w:eastAsia="de-DE"/>
        </w:rPr>
        <w:tab/>
        <w:t>Main Award from the German Medical Society (DGHM)</w:t>
      </w:r>
    </w:p>
    <w:p w:rsidR="00F33A56" w:rsidRPr="002366A0" w:rsidRDefault="00F33A56" w:rsidP="00F33A56">
      <w:pPr>
        <w:tabs>
          <w:tab w:val="left" w:pos="2268"/>
        </w:tabs>
        <w:spacing w:after="40" w:line="240" w:lineRule="auto"/>
        <w:ind w:left="2268" w:hanging="2268"/>
        <w:jc w:val="both"/>
        <w:rPr>
          <w:rFonts w:eastAsia="MS PMincho"/>
          <w:bCs/>
          <w:sz w:val="18"/>
          <w:szCs w:val="18"/>
          <w:lang w:val="en-GB"/>
        </w:rPr>
      </w:pPr>
      <w:r w:rsidRPr="002366A0">
        <w:rPr>
          <w:rFonts w:eastAsia="MS PMincho"/>
          <w:bCs/>
          <w:sz w:val="18"/>
          <w:szCs w:val="18"/>
          <w:lang w:val="en-GB"/>
        </w:rPr>
        <w:t>2015</w:t>
      </w:r>
      <w:r w:rsidRPr="002366A0">
        <w:rPr>
          <w:rFonts w:eastAsia="MS PMincho"/>
          <w:bCs/>
          <w:sz w:val="18"/>
          <w:szCs w:val="18"/>
          <w:lang w:val="en-GB"/>
        </w:rPr>
        <w:tab/>
      </w:r>
      <w:r w:rsidRPr="002366A0">
        <w:rPr>
          <w:rFonts w:eastAsia="Times New Roman"/>
          <w:color w:val="000000"/>
          <w:sz w:val="18"/>
          <w:szCs w:val="18"/>
          <w:lang w:val="en-GB"/>
        </w:rPr>
        <w:t>ERC Panel Head, Consolidator Grant</w:t>
      </w:r>
    </w:p>
    <w:p w:rsidR="00F33A56" w:rsidRPr="002366A0" w:rsidRDefault="00F33A56" w:rsidP="00F33A56">
      <w:pPr>
        <w:tabs>
          <w:tab w:val="left" w:pos="2268"/>
        </w:tabs>
        <w:spacing w:after="40" w:line="240" w:lineRule="auto"/>
        <w:ind w:left="2268" w:hanging="2268"/>
        <w:jc w:val="both"/>
        <w:rPr>
          <w:sz w:val="18"/>
          <w:szCs w:val="18"/>
        </w:rPr>
      </w:pPr>
      <w:r w:rsidRPr="002366A0">
        <w:rPr>
          <w:rFonts w:eastAsia="MS PMincho"/>
          <w:color w:val="000000"/>
          <w:sz w:val="18"/>
          <w:szCs w:val="18"/>
          <w:lang w:val="en-GB"/>
        </w:rPr>
        <w:t>2016 – 2019</w:t>
      </w:r>
      <w:r w:rsidRPr="002366A0">
        <w:rPr>
          <w:rFonts w:eastAsia="MS PMincho"/>
          <w:color w:val="000000"/>
          <w:sz w:val="18"/>
          <w:szCs w:val="18"/>
          <w:lang w:val="en-GB"/>
        </w:rPr>
        <w:tab/>
        <w:t xml:space="preserve">Coordinator of the European </w:t>
      </w:r>
      <w:r w:rsidRPr="002366A0">
        <w:rPr>
          <w:sz w:val="18"/>
          <w:szCs w:val="18"/>
        </w:rPr>
        <w:t>Joint Programming Initiative (JPI)</w:t>
      </w:r>
    </w:p>
    <w:p w:rsidR="00F33A56" w:rsidRPr="002366A0" w:rsidRDefault="00F33A56" w:rsidP="00F33A56">
      <w:pPr>
        <w:tabs>
          <w:tab w:val="left" w:pos="2268"/>
        </w:tabs>
        <w:spacing w:after="40" w:line="240" w:lineRule="auto"/>
        <w:ind w:left="2268" w:hanging="2268"/>
        <w:jc w:val="both"/>
        <w:rPr>
          <w:rFonts w:eastAsia="MS PMincho"/>
          <w:color w:val="000000"/>
          <w:sz w:val="18"/>
          <w:szCs w:val="18"/>
          <w:lang w:val="en-GB"/>
        </w:rPr>
      </w:pPr>
      <w:r w:rsidRPr="002366A0">
        <w:rPr>
          <w:sz w:val="18"/>
          <w:szCs w:val="18"/>
        </w:rPr>
        <w:tab/>
        <w:t>Diet-induced Arrangement of the Gut Microbiome (DINAMIC)</w:t>
      </w:r>
    </w:p>
    <w:p w:rsidR="004C2CB6" w:rsidRPr="002366A0" w:rsidRDefault="00F33A56" w:rsidP="00F33A56">
      <w:pPr>
        <w:tabs>
          <w:tab w:val="left" w:pos="2268"/>
        </w:tabs>
        <w:spacing w:after="40" w:line="240" w:lineRule="auto"/>
        <w:ind w:left="2268" w:hanging="2268"/>
        <w:jc w:val="both"/>
        <w:rPr>
          <w:rFonts w:eastAsia="MS PMincho"/>
          <w:color w:val="000000"/>
          <w:sz w:val="18"/>
          <w:szCs w:val="18"/>
          <w:lang w:val="en-GB"/>
        </w:rPr>
      </w:pPr>
      <w:r w:rsidRPr="002366A0">
        <w:rPr>
          <w:rFonts w:eastAsia="MS PMincho"/>
          <w:color w:val="000000"/>
          <w:sz w:val="18"/>
          <w:szCs w:val="18"/>
          <w:lang w:val="en-GB"/>
        </w:rPr>
        <w:t xml:space="preserve">2012 to date   </w:t>
      </w:r>
      <w:r w:rsidRPr="002366A0">
        <w:rPr>
          <w:rFonts w:eastAsia="MS PMincho"/>
          <w:color w:val="000000"/>
          <w:sz w:val="18"/>
          <w:szCs w:val="18"/>
          <w:lang w:val="en-GB"/>
        </w:rPr>
        <w:tab/>
        <w:t>Coordinator of the D</w:t>
      </w:r>
      <w:r w:rsidR="004C2CB6" w:rsidRPr="002366A0">
        <w:rPr>
          <w:rFonts w:eastAsia="MS PMincho"/>
          <w:color w:val="000000"/>
          <w:sz w:val="18"/>
          <w:szCs w:val="18"/>
          <w:lang w:val="en-GB"/>
        </w:rPr>
        <w:t>FG Priority Program (SPP1656)</w:t>
      </w:r>
    </w:p>
    <w:p w:rsidR="00F33A56" w:rsidRPr="002366A0" w:rsidRDefault="004C2CB6" w:rsidP="00F33A56">
      <w:pPr>
        <w:tabs>
          <w:tab w:val="left" w:pos="2268"/>
        </w:tabs>
        <w:spacing w:after="40" w:line="240" w:lineRule="auto"/>
        <w:ind w:left="2268" w:hanging="2268"/>
        <w:jc w:val="both"/>
        <w:rPr>
          <w:rFonts w:eastAsia="MS PMincho"/>
          <w:color w:val="000000"/>
          <w:sz w:val="18"/>
          <w:szCs w:val="18"/>
          <w:lang w:val="en-GB"/>
        </w:rPr>
      </w:pPr>
      <w:r w:rsidRPr="002366A0">
        <w:rPr>
          <w:rFonts w:eastAsia="MS PMincho"/>
          <w:color w:val="000000"/>
          <w:sz w:val="18"/>
          <w:szCs w:val="18"/>
          <w:lang w:val="en-GB"/>
        </w:rPr>
        <w:tab/>
      </w:r>
      <w:r w:rsidR="00F33A56" w:rsidRPr="002366A0">
        <w:rPr>
          <w:rFonts w:eastAsia="MS PMincho"/>
          <w:color w:val="000000"/>
          <w:sz w:val="18"/>
          <w:szCs w:val="18"/>
          <w:lang w:val="en-GB"/>
        </w:rPr>
        <w:t>Intestinal Microbiota</w:t>
      </w:r>
    </w:p>
    <w:p w:rsidR="00F33A56" w:rsidRPr="002366A0" w:rsidRDefault="00F33A56" w:rsidP="00F33A56">
      <w:pPr>
        <w:tabs>
          <w:tab w:val="left" w:pos="2268"/>
        </w:tabs>
        <w:spacing w:after="40" w:line="240" w:lineRule="auto"/>
        <w:ind w:left="2268" w:hanging="2268"/>
        <w:jc w:val="both"/>
        <w:rPr>
          <w:rFonts w:eastAsia="MS PMincho"/>
          <w:bCs/>
          <w:sz w:val="18"/>
          <w:szCs w:val="18"/>
          <w:lang w:val="en-GB"/>
        </w:rPr>
      </w:pPr>
      <w:r w:rsidRPr="002366A0">
        <w:rPr>
          <w:rFonts w:eastAsia="MS PMincho"/>
          <w:bCs/>
          <w:sz w:val="18"/>
          <w:szCs w:val="18"/>
          <w:lang w:val="en-GB"/>
        </w:rPr>
        <w:t>2011 - 2017</w:t>
      </w:r>
      <w:r w:rsidRPr="002366A0">
        <w:rPr>
          <w:rFonts w:eastAsia="MS PMincho"/>
          <w:bCs/>
          <w:sz w:val="18"/>
          <w:szCs w:val="18"/>
          <w:lang w:val="en-GB"/>
        </w:rPr>
        <w:tab/>
        <w:t>Coordinator of the DFG Research Training Group (GRK1482)</w:t>
      </w:r>
    </w:p>
    <w:p w:rsidR="00F33A56" w:rsidRPr="002366A0" w:rsidRDefault="00F33A56" w:rsidP="00F33A56">
      <w:pPr>
        <w:tabs>
          <w:tab w:val="left" w:pos="2268"/>
        </w:tabs>
        <w:spacing w:after="40" w:line="240" w:lineRule="auto"/>
        <w:ind w:left="2268" w:hanging="2268"/>
        <w:jc w:val="both"/>
        <w:rPr>
          <w:rFonts w:eastAsia="Times New Roman"/>
          <w:color w:val="000000"/>
          <w:sz w:val="18"/>
          <w:szCs w:val="18"/>
          <w:lang w:val="en-GB"/>
        </w:rPr>
      </w:pPr>
      <w:r w:rsidRPr="002366A0">
        <w:rPr>
          <w:rFonts w:eastAsia="MS PMincho"/>
          <w:bCs/>
          <w:sz w:val="18"/>
          <w:szCs w:val="18"/>
          <w:lang w:val="en-GB"/>
        </w:rPr>
        <w:t>2010</w:t>
      </w:r>
      <w:r w:rsidRPr="002366A0">
        <w:rPr>
          <w:rFonts w:eastAsia="MS PMincho"/>
          <w:bCs/>
          <w:sz w:val="18"/>
          <w:szCs w:val="18"/>
          <w:lang w:val="en-GB"/>
        </w:rPr>
        <w:tab/>
      </w:r>
      <w:r w:rsidRPr="002366A0">
        <w:rPr>
          <w:rFonts w:eastAsia="Times New Roman"/>
          <w:color w:val="000000"/>
          <w:sz w:val="18"/>
          <w:szCs w:val="18"/>
          <w:lang w:val="en-GB"/>
        </w:rPr>
        <w:t>Scientific Chair of the European Science Foundation (ESF), Forward Look initiative – Gene environment interaction in chronic disease</w:t>
      </w:r>
    </w:p>
    <w:p w:rsidR="00F33A56" w:rsidRPr="002366A0" w:rsidRDefault="00F33A56" w:rsidP="00F33A56">
      <w:pPr>
        <w:tabs>
          <w:tab w:val="left" w:pos="2268"/>
        </w:tabs>
        <w:spacing w:after="40" w:line="240" w:lineRule="auto"/>
        <w:ind w:left="2268" w:hanging="2268"/>
        <w:jc w:val="both"/>
        <w:rPr>
          <w:rFonts w:eastAsia="MS PMincho"/>
          <w:color w:val="000000"/>
          <w:sz w:val="18"/>
          <w:szCs w:val="18"/>
          <w:lang w:val="en-GB"/>
        </w:rPr>
      </w:pPr>
      <w:r w:rsidRPr="002366A0">
        <w:rPr>
          <w:rFonts w:eastAsia="MS PMincho"/>
          <w:bCs/>
          <w:sz w:val="18"/>
          <w:szCs w:val="18"/>
          <w:lang w:val="en-GB"/>
        </w:rPr>
        <w:t xml:space="preserve">2007 </w:t>
      </w:r>
      <w:r w:rsidRPr="002366A0">
        <w:rPr>
          <w:rFonts w:eastAsia="MS PMincho"/>
          <w:color w:val="000000"/>
          <w:sz w:val="18"/>
          <w:szCs w:val="18"/>
          <w:lang w:val="en-GB"/>
        </w:rPr>
        <w:t xml:space="preserve">- 2009 </w:t>
      </w:r>
      <w:r w:rsidRPr="002366A0">
        <w:rPr>
          <w:rFonts w:eastAsia="MS PMincho"/>
          <w:color w:val="000000"/>
          <w:sz w:val="18"/>
          <w:szCs w:val="18"/>
          <w:lang w:val="en-GB"/>
        </w:rPr>
        <w:tab/>
        <w:t>German American Frontiers of Science Alumni at the National Acadamy of Sciences of America and the Humboldt Foundation</w:t>
      </w:r>
    </w:p>
    <w:p w:rsidR="00F33A56" w:rsidRPr="002366A0" w:rsidRDefault="00F33A56" w:rsidP="00F33A56">
      <w:pPr>
        <w:tabs>
          <w:tab w:val="left" w:pos="2268"/>
        </w:tabs>
        <w:spacing w:after="40" w:line="240" w:lineRule="auto"/>
        <w:ind w:left="2268" w:hanging="2268"/>
        <w:jc w:val="both"/>
        <w:rPr>
          <w:rFonts w:eastAsia="Times New Roman"/>
          <w:color w:val="000000"/>
          <w:sz w:val="18"/>
          <w:szCs w:val="18"/>
          <w:lang w:val="en-GB" w:eastAsia="de-DE"/>
        </w:rPr>
      </w:pPr>
      <w:r w:rsidRPr="002366A0">
        <w:rPr>
          <w:rFonts w:eastAsia="Times New Roman"/>
          <w:color w:val="000000"/>
          <w:sz w:val="18"/>
          <w:szCs w:val="18"/>
          <w:lang w:val="en-GB" w:eastAsia="de-DE"/>
        </w:rPr>
        <w:t>2003 - 2006</w:t>
      </w:r>
      <w:r w:rsidRPr="002366A0">
        <w:rPr>
          <w:rFonts w:eastAsia="Times New Roman"/>
          <w:color w:val="000000"/>
          <w:sz w:val="18"/>
          <w:szCs w:val="18"/>
          <w:lang w:val="en-GB" w:eastAsia="de-DE"/>
        </w:rPr>
        <w:tab/>
        <w:t>DFG Emmy Noether Group Leader</w:t>
      </w:r>
    </w:p>
    <w:p w:rsidR="00F33A56" w:rsidRPr="002366A0" w:rsidRDefault="00F33A56" w:rsidP="00F33A56">
      <w:pPr>
        <w:tabs>
          <w:tab w:val="left" w:pos="2268"/>
        </w:tabs>
        <w:spacing w:after="40" w:line="240" w:lineRule="auto"/>
        <w:ind w:left="2268" w:hanging="2268"/>
        <w:jc w:val="both"/>
        <w:rPr>
          <w:rFonts w:eastAsia="Times New Roman"/>
          <w:color w:val="000000"/>
          <w:sz w:val="18"/>
          <w:szCs w:val="18"/>
          <w:lang w:val="en-GB" w:eastAsia="de-DE"/>
        </w:rPr>
      </w:pPr>
      <w:r w:rsidRPr="002366A0">
        <w:rPr>
          <w:rFonts w:eastAsia="Times New Roman"/>
          <w:color w:val="000000"/>
          <w:sz w:val="18"/>
          <w:szCs w:val="18"/>
          <w:lang w:val="en-GB" w:eastAsia="de-DE"/>
        </w:rPr>
        <w:t xml:space="preserve">2001 - 2002 </w:t>
      </w:r>
      <w:r w:rsidRPr="002366A0">
        <w:rPr>
          <w:rFonts w:eastAsia="Times New Roman"/>
          <w:color w:val="000000"/>
          <w:sz w:val="18"/>
          <w:szCs w:val="18"/>
          <w:lang w:val="en-GB" w:eastAsia="de-DE"/>
        </w:rPr>
        <w:tab/>
        <w:t>DFG Emmy Noether Research Fellow</w:t>
      </w:r>
    </w:p>
    <w:bookmarkEnd w:id="0"/>
    <w:p w:rsidR="00FB3EFC" w:rsidRDefault="00FB3EFC" w:rsidP="00707868">
      <w:pPr>
        <w:tabs>
          <w:tab w:val="left" w:pos="2268"/>
        </w:tabs>
        <w:spacing w:after="40" w:line="240" w:lineRule="auto"/>
        <w:ind w:left="2268" w:hanging="2268"/>
        <w:jc w:val="both"/>
        <w:rPr>
          <w:rFonts w:eastAsia="Times New Roman"/>
          <w:color w:val="000000"/>
          <w:sz w:val="20"/>
          <w:szCs w:val="20"/>
          <w:lang w:val="en-GB" w:eastAsia="de-DE"/>
        </w:rPr>
      </w:pPr>
    </w:p>
    <w:p w:rsidR="004C2CB6" w:rsidRDefault="004C2CB6" w:rsidP="009D6708">
      <w:pPr>
        <w:jc w:val="both"/>
        <w:rPr>
          <w:b/>
          <w:color w:val="000000" w:themeColor="text1"/>
          <w:sz w:val="24"/>
          <w:szCs w:val="24"/>
          <w:lang w:val="en-GB"/>
        </w:rPr>
      </w:pPr>
    </w:p>
    <w:p w:rsidR="009D6708" w:rsidRPr="00E07D3A" w:rsidRDefault="009D6708" w:rsidP="009D6708">
      <w:pPr>
        <w:jc w:val="both"/>
        <w:rPr>
          <w:color w:val="000000" w:themeColor="text1"/>
          <w:sz w:val="24"/>
          <w:szCs w:val="24"/>
          <w:lang w:val="en-GB"/>
        </w:rPr>
      </w:pPr>
      <w:r w:rsidRPr="00E07D3A">
        <w:rPr>
          <w:b/>
          <w:color w:val="000000" w:themeColor="text1"/>
          <w:sz w:val="24"/>
          <w:szCs w:val="24"/>
          <w:lang w:val="en-GB"/>
        </w:rPr>
        <w:t xml:space="preserve">Facts and Statistics (1999 – 2018*) </w:t>
      </w:r>
    </w:p>
    <w:tbl>
      <w:tblPr>
        <w:tblStyle w:val="Tabelraster"/>
        <w:tblW w:w="0" w:type="auto"/>
        <w:tblInd w:w="108" w:type="dxa"/>
        <w:tblLook w:val="04A0" w:firstRow="1" w:lastRow="0" w:firstColumn="1" w:lastColumn="0" w:noHBand="0" w:noVBand="1"/>
      </w:tblPr>
      <w:tblGrid>
        <w:gridCol w:w="7453"/>
        <w:gridCol w:w="1210"/>
      </w:tblGrid>
      <w:tr w:rsidR="009D6708" w:rsidRPr="00436D84" w:rsidTr="00BC6DBB">
        <w:tc>
          <w:tcPr>
            <w:tcW w:w="7739" w:type="dxa"/>
          </w:tcPr>
          <w:p w:rsidR="009D6708" w:rsidRPr="001C57B5" w:rsidRDefault="009D6708" w:rsidP="00BC6DBB">
            <w:pPr>
              <w:rPr>
                <w:rFonts w:ascii="Arial" w:hAnsi="Arial" w:cs="Arial"/>
                <w:b/>
                <w:lang w:val="en-GB"/>
              </w:rPr>
            </w:pPr>
            <w:r w:rsidRPr="001C57B5">
              <w:rPr>
                <w:rFonts w:ascii="Arial" w:hAnsi="Arial" w:cs="Arial"/>
                <w:b/>
                <w:lang w:val="en-GB"/>
              </w:rPr>
              <w:t>Number of peer reviewed publications (</w:t>
            </w:r>
            <w:r w:rsidRPr="001C57B5">
              <w:rPr>
                <w:rFonts w:ascii="Arial" w:hAnsi="Arial" w:cs="Arial"/>
                <w:b/>
                <w:sz w:val="16"/>
                <w:szCs w:val="16"/>
                <w:lang w:val="en-GB"/>
              </w:rPr>
              <w:t>Scopus</w:t>
            </w:r>
            <w:r w:rsidRPr="001C57B5">
              <w:rPr>
                <w:rFonts w:ascii="Arial" w:hAnsi="Arial" w:cs="Arial"/>
                <w:b/>
                <w:lang w:val="en-GB"/>
              </w:rPr>
              <w:t>)</w:t>
            </w:r>
          </w:p>
          <w:p w:rsidR="009D6708" w:rsidRPr="001C57B5" w:rsidRDefault="009D6708" w:rsidP="009D6708">
            <w:pPr>
              <w:pStyle w:val="Lijstaline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1C57B5">
              <w:rPr>
                <w:rFonts w:ascii="Arial" w:hAnsi="Arial" w:cs="Arial"/>
                <w:lang w:val="en-GB"/>
              </w:rPr>
              <w:t>Impact factor &gt; 10</w:t>
            </w:r>
          </w:p>
          <w:p w:rsidR="009D6708" w:rsidRPr="001C57B5" w:rsidRDefault="009D6708" w:rsidP="009D6708">
            <w:pPr>
              <w:pStyle w:val="Lijstaline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1C57B5">
              <w:rPr>
                <w:rFonts w:ascii="Arial" w:hAnsi="Arial" w:cs="Arial"/>
                <w:lang w:val="en-GB"/>
              </w:rPr>
              <w:t>Patents</w:t>
            </w:r>
          </w:p>
        </w:tc>
        <w:tc>
          <w:tcPr>
            <w:tcW w:w="1215" w:type="dxa"/>
          </w:tcPr>
          <w:p w:rsidR="009D6708" w:rsidRPr="001C57B5" w:rsidRDefault="009D6708" w:rsidP="00BC6DBB">
            <w:pPr>
              <w:jc w:val="right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  <w:r w:rsidR="00E47913">
              <w:rPr>
                <w:rFonts w:ascii="Arial" w:hAnsi="Arial" w:cs="Arial"/>
                <w:b/>
                <w:lang w:val="en-US"/>
              </w:rPr>
              <w:t>52</w:t>
            </w:r>
          </w:p>
          <w:p w:rsidR="009D6708" w:rsidRPr="001C57B5" w:rsidRDefault="009D6708" w:rsidP="00BC6DBB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E47913">
              <w:rPr>
                <w:rFonts w:ascii="Arial" w:hAnsi="Arial" w:cs="Arial"/>
                <w:lang w:val="en-US"/>
              </w:rPr>
              <w:t>4</w:t>
            </w:r>
          </w:p>
          <w:p w:rsidR="009D6708" w:rsidRPr="001C57B5" w:rsidRDefault="009D6708" w:rsidP="00BC6DBB">
            <w:pPr>
              <w:jc w:val="right"/>
              <w:rPr>
                <w:rFonts w:ascii="Arial" w:hAnsi="Arial" w:cs="Arial"/>
                <w:lang w:val="en-US"/>
              </w:rPr>
            </w:pPr>
            <w:r w:rsidRPr="001C57B5">
              <w:rPr>
                <w:rFonts w:ascii="Arial" w:hAnsi="Arial" w:cs="Arial"/>
                <w:lang w:val="en-US"/>
              </w:rPr>
              <w:t>2</w:t>
            </w:r>
          </w:p>
        </w:tc>
      </w:tr>
      <w:tr w:rsidR="009D6708" w:rsidRPr="00436D84" w:rsidTr="00BC6DBB">
        <w:tc>
          <w:tcPr>
            <w:tcW w:w="7739" w:type="dxa"/>
          </w:tcPr>
          <w:p w:rsidR="009D6708" w:rsidRPr="001C57B5" w:rsidRDefault="009D6708" w:rsidP="00BC6DBB">
            <w:pPr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F</w:t>
            </w:r>
            <w:r w:rsidRPr="001C57B5">
              <w:rPr>
                <w:rFonts w:ascii="Arial" w:hAnsi="Arial" w:cs="Arial"/>
                <w:b/>
                <w:lang w:val="en-GB"/>
              </w:rPr>
              <w:t xml:space="preserve">unding </w:t>
            </w:r>
            <w:r w:rsidRPr="001C57B5">
              <w:rPr>
                <w:rFonts w:ascii="Arial" w:hAnsi="Arial" w:cs="Arial"/>
                <w:b/>
                <w:sz w:val="16"/>
                <w:szCs w:val="16"/>
                <w:lang w:val="en-GB"/>
              </w:rPr>
              <w:t>(EUR)</w:t>
            </w:r>
          </w:p>
          <w:p w:rsidR="009D6708" w:rsidRPr="00ED06AE" w:rsidRDefault="009D6708" w:rsidP="009D6708">
            <w:pPr>
              <w:pStyle w:val="Lijstaline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ED06AE">
              <w:rPr>
                <w:rFonts w:ascii="Arial" w:hAnsi="Arial" w:cs="Arial"/>
                <w:lang w:val="en-GB"/>
              </w:rPr>
              <w:t>Past 5 Years (2013 – to date)</w:t>
            </w:r>
          </w:p>
        </w:tc>
        <w:tc>
          <w:tcPr>
            <w:tcW w:w="1215" w:type="dxa"/>
          </w:tcPr>
          <w:p w:rsidR="009D6708" w:rsidRPr="001C57B5" w:rsidRDefault="009D6708" w:rsidP="00BC6DBB">
            <w:pPr>
              <w:jc w:val="right"/>
              <w:rPr>
                <w:rFonts w:ascii="Arial" w:hAnsi="Arial" w:cs="Arial"/>
                <w:b/>
                <w:lang w:val="en-US"/>
              </w:rPr>
            </w:pPr>
          </w:p>
          <w:p w:rsidR="009D6708" w:rsidRPr="001C57B5" w:rsidRDefault="009D6708" w:rsidP="00BC6DBB">
            <w:pPr>
              <w:jc w:val="right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7.185.440</w:t>
            </w:r>
          </w:p>
        </w:tc>
      </w:tr>
      <w:tr w:rsidR="009D6708" w:rsidRPr="00436D84" w:rsidTr="00BC6DBB">
        <w:tc>
          <w:tcPr>
            <w:tcW w:w="7739" w:type="dxa"/>
          </w:tcPr>
          <w:p w:rsidR="009D6708" w:rsidRPr="00BD1202" w:rsidRDefault="009D6708" w:rsidP="00BC6DBB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BD1202">
              <w:rPr>
                <w:rFonts w:ascii="Arial" w:hAnsi="Arial" w:cs="Arial"/>
                <w:b/>
                <w:color w:val="000000" w:themeColor="text1"/>
                <w:lang w:val="en-GB"/>
              </w:rPr>
              <w:t xml:space="preserve">Complete H-Index </w:t>
            </w:r>
            <w:r w:rsidRPr="00BD1202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GB"/>
              </w:rPr>
              <w:t>(Scopus)</w:t>
            </w:r>
          </w:p>
          <w:p w:rsidR="009D6708" w:rsidRPr="008B1661" w:rsidRDefault="009D6708" w:rsidP="009D6708">
            <w:pPr>
              <w:pStyle w:val="Lijstalinea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color w:val="000000" w:themeColor="text1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lang w:val="en-GB"/>
              </w:rPr>
              <w:t xml:space="preserve">Percent (%) contribution as first or last author </w:t>
            </w:r>
          </w:p>
        </w:tc>
        <w:tc>
          <w:tcPr>
            <w:tcW w:w="1215" w:type="dxa"/>
          </w:tcPr>
          <w:p w:rsidR="009D6708" w:rsidRDefault="009D6708" w:rsidP="00BC6DBB">
            <w:pPr>
              <w:jc w:val="right"/>
              <w:rPr>
                <w:rFonts w:ascii="Arial" w:hAnsi="Arial" w:cs="Arial"/>
                <w:b/>
                <w:color w:val="000000" w:themeColor="text1"/>
                <w:lang w:val="en-US"/>
              </w:rPr>
            </w:pPr>
            <w:r>
              <w:rPr>
                <w:rFonts w:ascii="Arial" w:hAnsi="Arial" w:cs="Arial"/>
                <w:b/>
                <w:color w:val="000000" w:themeColor="text1"/>
                <w:lang w:val="en-US"/>
              </w:rPr>
              <w:t>4</w:t>
            </w:r>
            <w:r w:rsidR="00E47913">
              <w:rPr>
                <w:rFonts w:ascii="Arial" w:hAnsi="Arial" w:cs="Arial"/>
                <w:b/>
                <w:color w:val="000000" w:themeColor="text1"/>
                <w:lang w:val="en-US"/>
              </w:rPr>
              <w:t>4</w:t>
            </w:r>
          </w:p>
          <w:p w:rsidR="009D6708" w:rsidRPr="00BD1202" w:rsidRDefault="009D6708" w:rsidP="00BC6DBB">
            <w:pPr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BD1202">
              <w:rPr>
                <w:rFonts w:ascii="Arial" w:hAnsi="Arial" w:cs="Arial"/>
                <w:color w:val="000000" w:themeColor="text1"/>
                <w:lang w:val="en-US"/>
              </w:rPr>
              <w:t>80</w:t>
            </w:r>
          </w:p>
        </w:tc>
      </w:tr>
      <w:tr w:rsidR="009D6708" w:rsidRPr="00436D84" w:rsidTr="00BC6DBB">
        <w:tc>
          <w:tcPr>
            <w:tcW w:w="7739" w:type="dxa"/>
          </w:tcPr>
          <w:p w:rsidR="009D6708" w:rsidRPr="00ED06AE" w:rsidRDefault="009D6708" w:rsidP="00BC6DBB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ED06AE">
              <w:rPr>
                <w:rFonts w:ascii="Arial" w:hAnsi="Arial" w:cs="Arial"/>
                <w:b/>
                <w:color w:val="000000" w:themeColor="text1"/>
                <w:lang w:val="en-GB"/>
              </w:rPr>
              <w:t xml:space="preserve">Citations </w:t>
            </w:r>
            <w:r w:rsidRPr="00ED06AE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GB"/>
              </w:rPr>
              <w:t>(Scopus)</w:t>
            </w:r>
          </w:p>
          <w:p w:rsidR="009D6708" w:rsidRDefault="009D6708" w:rsidP="009D6708">
            <w:pPr>
              <w:pStyle w:val="Lijstalinea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color w:val="000000" w:themeColor="text1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lang w:val="en-GB"/>
              </w:rPr>
              <w:t>Highly Cited Publications (Web of Science; 1% most cited)</w:t>
            </w:r>
          </w:p>
          <w:p w:rsidR="009D6708" w:rsidRPr="00ED06AE" w:rsidRDefault="009D6708" w:rsidP="009D6708">
            <w:pPr>
              <w:pStyle w:val="Lijstalinea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color w:val="000000" w:themeColor="text1"/>
                <w:lang w:val="en-GB"/>
              </w:rPr>
            </w:pPr>
            <w:r w:rsidRPr="00C177CF">
              <w:rPr>
                <w:rFonts w:ascii="Arial" w:hAnsi="Arial" w:cs="Arial"/>
                <w:color w:val="000000" w:themeColor="text1"/>
                <w:lang w:val="en-GB"/>
              </w:rPr>
              <w:t>Annual citations</w:t>
            </w:r>
            <w:r>
              <w:rPr>
                <w:rFonts w:ascii="Arial" w:hAnsi="Arial" w:cs="Arial"/>
                <w:color w:val="000000" w:themeColor="text1"/>
                <w:lang w:val="en-GB"/>
              </w:rPr>
              <w:t xml:space="preserve"> (2017)</w:t>
            </w:r>
          </w:p>
        </w:tc>
        <w:tc>
          <w:tcPr>
            <w:tcW w:w="1215" w:type="dxa"/>
          </w:tcPr>
          <w:p w:rsidR="009D6708" w:rsidRDefault="00062CF2" w:rsidP="00BC6DBB">
            <w:pPr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lang w:val="en-US"/>
              </w:rPr>
              <w:t>6009</w:t>
            </w:r>
          </w:p>
          <w:p w:rsidR="009D6708" w:rsidRDefault="009D6708" w:rsidP="00BC6DBB">
            <w:pPr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lang w:val="en-US"/>
              </w:rPr>
              <w:t>5</w:t>
            </w:r>
          </w:p>
          <w:p w:rsidR="009D6708" w:rsidRPr="00BD1202" w:rsidRDefault="00E47913" w:rsidP="00062CF2">
            <w:pPr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lang w:val="en-US"/>
              </w:rPr>
              <w:t>8</w:t>
            </w:r>
            <w:r w:rsidR="00062CF2">
              <w:rPr>
                <w:rFonts w:ascii="Arial" w:hAnsi="Arial" w:cs="Arial"/>
                <w:color w:val="000000" w:themeColor="text1"/>
                <w:lang w:val="en-US"/>
              </w:rPr>
              <w:t>14</w:t>
            </w:r>
          </w:p>
        </w:tc>
      </w:tr>
    </w:tbl>
    <w:p w:rsidR="00BC6DBB" w:rsidRDefault="00BC6DBB" w:rsidP="00BC6DBB">
      <w:pPr>
        <w:spacing w:after="0" w:line="240" w:lineRule="auto"/>
        <w:ind w:left="7080"/>
        <w:jc w:val="both"/>
        <w:rPr>
          <w:color w:val="000000" w:themeColor="text1"/>
          <w:sz w:val="16"/>
          <w:szCs w:val="16"/>
          <w:lang w:val="en-GB"/>
        </w:rPr>
      </w:pPr>
      <w:r>
        <w:rPr>
          <w:color w:val="000000" w:themeColor="text1"/>
          <w:sz w:val="16"/>
          <w:szCs w:val="16"/>
          <w:lang w:val="en-GB"/>
        </w:rPr>
        <w:t xml:space="preserve">             </w:t>
      </w:r>
    </w:p>
    <w:p w:rsidR="009D6708" w:rsidRPr="00BB5FC7" w:rsidRDefault="00BC6DBB" w:rsidP="00BC6DBB">
      <w:pPr>
        <w:spacing w:after="0" w:line="240" w:lineRule="auto"/>
        <w:ind w:left="7080"/>
        <w:jc w:val="both"/>
        <w:rPr>
          <w:i/>
          <w:color w:val="000000" w:themeColor="text1"/>
          <w:sz w:val="16"/>
          <w:szCs w:val="16"/>
          <w:lang w:val="en-GB"/>
        </w:rPr>
      </w:pPr>
      <w:r>
        <w:rPr>
          <w:color w:val="000000" w:themeColor="text1"/>
          <w:sz w:val="16"/>
          <w:szCs w:val="16"/>
          <w:lang w:val="en-GB"/>
        </w:rPr>
        <w:t xml:space="preserve">             </w:t>
      </w:r>
      <w:r w:rsidR="005C4EEB">
        <w:rPr>
          <w:color w:val="000000" w:themeColor="text1"/>
          <w:sz w:val="16"/>
          <w:szCs w:val="16"/>
          <w:lang w:val="en-GB"/>
        </w:rPr>
        <w:t>*</w:t>
      </w:r>
      <w:r>
        <w:rPr>
          <w:color w:val="000000" w:themeColor="text1"/>
          <w:sz w:val="16"/>
          <w:szCs w:val="16"/>
          <w:lang w:val="en-GB"/>
        </w:rPr>
        <w:t>Oktober</w:t>
      </w:r>
      <w:r w:rsidR="009D6708" w:rsidRPr="00BB5FC7">
        <w:rPr>
          <w:color w:val="000000" w:themeColor="text1"/>
          <w:sz w:val="16"/>
          <w:szCs w:val="16"/>
          <w:lang w:val="en-GB"/>
        </w:rPr>
        <w:t xml:space="preserve"> 201</w:t>
      </w:r>
      <w:r w:rsidR="009D6708">
        <w:rPr>
          <w:color w:val="000000" w:themeColor="text1"/>
          <w:sz w:val="16"/>
          <w:szCs w:val="16"/>
          <w:lang w:val="en-GB"/>
        </w:rPr>
        <w:t>8</w:t>
      </w:r>
    </w:p>
    <w:p w:rsidR="009D6708" w:rsidRPr="00707868" w:rsidRDefault="009D6708" w:rsidP="00707868">
      <w:pPr>
        <w:tabs>
          <w:tab w:val="left" w:pos="2268"/>
        </w:tabs>
        <w:spacing w:after="40" w:line="240" w:lineRule="auto"/>
        <w:ind w:left="2268" w:hanging="2268"/>
        <w:jc w:val="both"/>
        <w:rPr>
          <w:rFonts w:eastAsia="Times New Roman"/>
          <w:color w:val="000000"/>
          <w:sz w:val="20"/>
          <w:szCs w:val="20"/>
          <w:lang w:val="en-GB" w:eastAsia="de-DE"/>
        </w:rPr>
      </w:pPr>
    </w:p>
    <w:p w:rsidR="009D6708" w:rsidRPr="003E116B" w:rsidRDefault="009D6708" w:rsidP="004C2CB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0000" w:themeColor="text1"/>
          <w:sz w:val="20"/>
          <w:szCs w:val="20"/>
          <w:lang w:val="en-US"/>
        </w:rPr>
      </w:pPr>
      <w:r w:rsidRPr="003E116B">
        <w:rPr>
          <w:b/>
          <w:bCs/>
          <w:color w:val="000000" w:themeColor="text1"/>
          <w:sz w:val="20"/>
          <w:szCs w:val="20"/>
          <w:lang w:val="en-US"/>
        </w:rPr>
        <w:t>Research sketch:</w:t>
      </w:r>
    </w:p>
    <w:p w:rsidR="009D6708" w:rsidRDefault="009D6708" w:rsidP="004C2CB6">
      <w:pPr>
        <w:autoSpaceDE w:val="0"/>
        <w:autoSpaceDN w:val="0"/>
        <w:adjustRightInd w:val="0"/>
        <w:spacing w:after="0" w:line="240" w:lineRule="auto"/>
        <w:jc w:val="both"/>
        <w:rPr>
          <w:bCs/>
          <w:color w:val="000000" w:themeColor="text1"/>
          <w:sz w:val="20"/>
          <w:szCs w:val="20"/>
          <w:lang w:val="en-US"/>
        </w:rPr>
      </w:pPr>
    </w:p>
    <w:p w:rsidR="009D6708" w:rsidRDefault="009D6708" w:rsidP="004C2CB6">
      <w:pPr>
        <w:autoSpaceDE w:val="0"/>
        <w:autoSpaceDN w:val="0"/>
        <w:adjustRightInd w:val="0"/>
        <w:spacing w:after="0" w:line="240" w:lineRule="auto"/>
        <w:jc w:val="both"/>
        <w:rPr>
          <w:bCs/>
          <w:color w:val="000000" w:themeColor="text1"/>
          <w:sz w:val="20"/>
          <w:szCs w:val="20"/>
          <w:lang w:val="en-US"/>
        </w:rPr>
      </w:pPr>
      <w:r w:rsidRPr="00E349C7">
        <w:rPr>
          <w:bCs/>
          <w:color w:val="000000" w:themeColor="text1"/>
          <w:sz w:val="20"/>
          <w:szCs w:val="20"/>
          <w:lang w:val="en-US"/>
        </w:rPr>
        <w:t xml:space="preserve">The main areas of research </w:t>
      </w:r>
      <w:r w:rsidR="00404B3F">
        <w:rPr>
          <w:bCs/>
          <w:color w:val="000000" w:themeColor="text1"/>
          <w:sz w:val="20"/>
          <w:szCs w:val="20"/>
          <w:lang w:val="en-US"/>
        </w:rPr>
        <w:t xml:space="preserve">of Prof. Haller </w:t>
      </w:r>
      <w:r w:rsidRPr="00E349C7">
        <w:rPr>
          <w:bCs/>
          <w:color w:val="000000" w:themeColor="text1"/>
          <w:sz w:val="20"/>
          <w:szCs w:val="20"/>
          <w:lang w:val="en-US"/>
        </w:rPr>
        <w:t xml:space="preserve">are dedicated to the understanding of gut health and the pathogenesis of inflammation-related chronic disorders such as inflammatory bowel diseases (IBD) and colorectal cancer (CRC). Nutrition and the intestinal </w:t>
      </w:r>
      <w:r>
        <w:rPr>
          <w:bCs/>
          <w:color w:val="000000" w:themeColor="text1"/>
          <w:sz w:val="20"/>
          <w:szCs w:val="20"/>
          <w:lang w:val="en-US"/>
        </w:rPr>
        <w:t>microbiome</w:t>
      </w:r>
      <w:r w:rsidRPr="00E349C7">
        <w:rPr>
          <w:bCs/>
          <w:color w:val="000000" w:themeColor="text1"/>
          <w:sz w:val="20"/>
          <w:szCs w:val="20"/>
          <w:lang w:val="en-US"/>
        </w:rPr>
        <w:t xml:space="preserve"> are prime environmental factors and play a pivotal role in the development of these complex pathologies. </w:t>
      </w:r>
      <w:r>
        <w:rPr>
          <w:bCs/>
          <w:color w:val="000000" w:themeColor="text1"/>
          <w:sz w:val="20"/>
          <w:szCs w:val="20"/>
          <w:lang w:val="en-US"/>
        </w:rPr>
        <w:t>A key question is of how these environmental factors integrate their signals into host functions</w:t>
      </w:r>
      <w:r w:rsidR="00062CF2">
        <w:rPr>
          <w:bCs/>
          <w:color w:val="000000" w:themeColor="text1"/>
          <w:sz w:val="20"/>
          <w:szCs w:val="20"/>
          <w:lang w:val="en-US"/>
        </w:rPr>
        <w:t xml:space="preserve">. In this context, we suggest </w:t>
      </w:r>
      <w:r>
        <w:rPr>
          <w:bCs/>
          <w:color w:val="000000" w:themeColor="text1"/>
          <w:sz w:val="20"/>
          <w:szCs w:val="20"/>
          <w:lang w:val="en-US"/>
        </w:rPr>
        <w:t>that t</w:t>
      </w:r>
      <w:r w:rsidRPr="00E349C7">
        <w:rPr>
          <w:bCs/>
          <w:color w:val="000000" w:themeColor="text1"/>
          <w:sz w:val="20"/>
          <w:szCs w:val="20"/>
          <w:lang w:val="en-US"/>
        </w:rPr>
        <w:t xml:space="preserve">he intestinal epithelium provides a dynamic interface </w:t>
      </w:r>
      <w:r>
        <w:rPr>
          <w:bCs/>
          <w:color w:val="000000" w:themeColor="text1"/>
          <w:sz w:val="20"/>
          <w:szCs w:val="20"/>
          <w:lang w:val="en-US"/>
        </w:rPr>
        <w:t>to sense</w:t>
      </w:r>
      <w:r w:rsidRPr="00E349C7">
        <w:rPr>
          <w:bCs/>
          <w:color w:val="000000" w:themeColor="text1"/>
          <w:sz w:val="20"/>
          <w:szCs w:val="20"/>
          <w:lang w:val="en-US"/>
        </w:rPr>
        <w:t xml:space="preserve"> </w:t>
      </w:r>
      <w:r>
        <w:rPr>
          <w:bCs/>
          <w:color w:val="000000" w:themeColor="text1"/>
          <w:sz w:val="20"/>
          <w:szCs w:val="20"/>
          <w:lang w:val="en-US"/>
        </w:rPr>
        <w:t xml:space="preserve">these </w:t>
      </w:r>
      <w:r w:rsidRPr="00E349C7">
        <w:rPr>
          <w:bCs/>
          <w:color w:val="000000" w:themeColor="text1"/>
          <w:sz w:val="20"/>
          <w:szCs w:val="20"/>
          <w:lang w:val="en-US"/>
        </w:rPr>
        <w:t>nu</w:t>
      </w:r>
      <w:r>
        <w:rPr>
          <w:bCs/>
          <w:color w:val="000000" w:themeColor="text1"/>
          <w:sz w:val="20"/>
          <w:szCs w:val="20"/>
          <w:lang w:val="en-US"/>
        </w:rPr>
        <w:t xml:space="preserve">tritional and microbial factors </w:t>
      </w:r>
      <w:r w:rsidR="00404B3F">
        <w:rPr>
          <w:bCs/>
          <w:color w:val="000000" w:themeColor="text1"/>
          <w:sz w:val="20"/>
          <w:szCs w:val="20"/>
          <w:lang w:val="en-US"/>
        </w:rPr>
        <w:t>by integrating innate immune recognition mechanisms and</w:t>
      </w:r>
      <w:r>
        <w:rPr>
          <w:bCs/>
          <w:color w:val="000000" w:themeColor="text1"/>
          <w:sz w:val="20"/>
          <w:szCs w:val="20"/>
          <w:lang w:val="en-US"/>
        </w:rPr>
        <w:t xml:space="preserve"> </w:t>
      </w:r>
      <w:r w:rsidRPr="00E349C7">
        <w:rPr>
          <w:sz w:val="20"/>
          <w:szCs w:val="20"/>
        </w:rPr>
        <w:t>cell stress responses (unfolded protein responses; UPR).</w:t>
      </w:r>
      <w:r>
        <w:rPr>
          <w:bCs/>
          <w:color w:val="000000" w:themeColor="text1"/>
          <w:sz w:val="20"/>
          <w:szCs w:val="20"/>
          <w:lang w:val="en-US"/>
        </w:rPr>
        <w:t xml:space="preserve"> </w:t>
      </w:r>
      <w:r w:rsidR="00062CF2">
        <w:rPr>
          <w:bCs/>
          <w:color w:val="000000" w:themeColor="text1"/>
          <w:sz w:val="20"/>
          <w:szCs w:val="20"/>
          <w:lang w:val="en-US"/>
        </w:rPr>
        <w:t xml:space="preserve">In the past years, </w:t>
      </w:r>
      <w:r w:rsidR="00E416C9">
        <w:rPr>
          <w:bCs/>
          <w:color w:val="000000" w:themeColor="text1"/>
          <w:sz w:val="20"/>
          <w:szCs w:val="20"/>
          <w:lang w:val="en-US"/>
        </w:rPr>
        <w:t>Prof. Haller and his team</w:t>
      </w:r>
      <w:r>
        <w:rPr>
          <w:bCs/>
          <w:color w:val="000000" w:themeColor="text1"/>
          <w:sz w:val="20"/>
          <w:szCs w:val="20"/>
          <w:lang w:val="en-US"/>
        </w:rPr>
        <w:t xml:space="preserve"> generated a variety </w:t>
      </w:r>
      <w:r w:rsidRPr="00E349C7">
        <w:rPr>
          <w:bCs/>
          <w:color w:val="000000" w:themeColor="text1"/>
          <w:sz w:val="20"/>
          <w:szCs w:val="20"/>
          <w:lang w:val="en-US"/>
        </w:rPr>
        <w:t xml:space="preserve">of novel tissue-specific mouse models </w:t>
      </w:r>
      <w:r>
        <w:rPr>
          <w:bCs/>
          <w:color w:val="000000" w:themeColor="text1"/>
          <w:sz w:val="20"/>
          <w:szCs w:val="20"/>
          <w:lang w:val="en-US"/>
        </w:rPr>
        <w:t xml:space="preserve">and </w:t>
      </w:r>
      <w:r w:rsidRPr="00E349C7">
        <w:rPr>
          <w:bCs/>
          <w:color w:val="000000" w:themeColor="text1"/>
          <w:sz w:val="20"/>
          <w:szCs w:val="20"/>
          <w:lang w:val="en-US"/>
        </w:rPr>
        <w:t xml:space="preserve">identified an essential role of unfolded protein responses (UPR) in the regulation of </w:t>
      </w:r>
      <w:r>
        <w:rPr>
          <w:bCs/>
          <w:color w:val="000000" w:themeColor="text1"/>
          <w:sz w:val="20"/>
          <w:szCs w:val="20"/>
          <w:lang w:val="en-US"/>
        </w:rPr>
        <w:t>gut</w:t>
      </w:r>
      <w:r w:rsidRPr="00E349C7">
        <w:rPr>
          <w:bCs/>
          <w:color w:val="000000" w:themeColor="text1"/>
          <w:sz w:val="20"/>
          <w:szCs w:val="20"/>
          <w:lang w:val="en-US"/>
        </w:rPr>
        <w:t xml:space="preserve"> homeostasis</w:t>
      </w:r>
      <w:r>
        <w:rPr>
          <w:bCs/>
          <w:color w:val="000000" w:themeColor="text1"/>
          <w:sz w:val="20"/>
          <w:szCs w:val="20"/>
          <w:lang w:val="en-US"/>
        </w:rPr>
        <w:t>. Failure of organelle-specific (endoplasmic reticulum and mitochondria)</w:t>
      </w:r>
      <w:r w:rsidRPr="00E349C7">
        <w:rPr>
          <w:bCs/>
          <w:color w:val="000000" w:themeColor="text1"/>
          <w:sz w:val="20"/>
          <w:szCs w:val="20"/>
          <w:lang w:val="en-US"/>
        </w:rPr>
        <w:t xml:space="preserve"> </w:t>
      </w:r>
      <w:r>
        <w:rPr>
          <w:bCs/>
          <w:color w:val="000000" w:themeColor="text1"/>
          <w:sz w:val="20"/>
          <w:szCs w:val="20"/>
          <w:lang w:val="en-US"/>
        </w:rPr>
        <w:t>UPR signaling contributes to chronic inflammation and tumorigenesis</w:t>
      </w:r>
      <w:r w:rsidRPr="00E349C7">
        <w:rPr>
          <w:bCs/>
          <w:color w:val="000000" w:themeColor="text1"/>
          <w:sz w:val="20"/>
          <w:szCs w:val="20"/>
          <w:lang w:val="en-US"/>
        </w:rPr>
        <w:t xml:space="preserve">. </w:t>
      </w:r>
      <w:r>
        <w:rPr>
          <w:bCs/>
          <w:color w:val="000000" w:themeColor="text1"/>
          <w:sz w:val="20"/>
          <w:szCs w:val="20"/>
          <w:lang w:val="en-US"/>
        </w:rPr>
        <w:t>G</w:t>
      </w:r>
      <w:r w:rsidRPr="00E349C7">
        <w:rPr>
          <w:bCs/>
          <w:color w:val="000000" w:themeColor="text1"/>
          <w:sz w:val="20"/>
          <w:szCs w:val="20"/>
          <w:lang w:val="en-US"/>
        </w:rPr>
        <w:t xml:space="preserve">notobiotic </w:t>
      </w:r>
      <w:r>
        <w:rPr>
          <w:bCs/>
          <w:color w:val="000000" w:themeColor="text1"/>
          <w:sz w:val="20"/>
          <w:szCs w:val="20"/>
          <w:lang w:val="en-US"/>
        </w:rPr>
        <w:t>studies in germ-free models</w:t>
      </w:r>
      <w:r w:rsidRPr="00E349C7">
        <w:rPr>
          <w:bCs/>
          <w:color w:val="000000" w:themeColor="text1"/>
          <w:sz w:val="20"/>
          <w:szCs w:val="20"/>
          <w:lang w:val="en-US"/>
        </w:rPr>
        <w:t xml:space="preserve"> </w:t>
      </w:r>
      <w:r w:rsidR="00404B3F">
        <w:rPr>
          <w:bCs/>
          <w:color w:val="000000" w:themeColor="text1"/>
          <w:sz w:val="20"/>
          <w:szCs w:val="20"/>
          <w:lang w:val="en-US"/>
        </w:rPr>
        <w:t>identified novel</w:t>
      </w:r>
      <w:r w:rsidRPr="00E349C7">
        <w:rPr>
          <w:bCs/>
          <w:color w:val="000000" w:themeColor="text1"/>
          <w:sz w:val="20"/>
          <w:szCs w:val="20"/>
          <w:lang w:val="en-US"/>
        </w:rPr>
        <w:t xml:space="preserve"> mechanisms of microbe-host interactions</w:t>
      </w:r>
      <w:r>
        <w:rPr>
          <w:bCs/>
          <w:color w:val="000000" w:themeColor="text1"/>
          <w:sz w:val="20"/>
          <w:szCs w:val="20"/>
          <w:lang w:val="en-US"/>
        </w:rPr>
        <w:t xml:space="preserve"> and the impact of nutrition in inflammatory bowel diseases (IBD) and colorectal cancer (CRC).</w:t>
      </w:r>
      <w:r w:rsidRPr="00E349C7">
        <w:rPr>
          <w:bCs/>
          <w:color w:val="000000" w:themeColor="text1"/>
          <w:sz w:val="20"/>
          <w:szCs w:val="20"/>
          <w:lang w:val="en-US"/>
        </w:rPr>
        <w:t xml:space="preserve"> </w:t>
      </w:r>
      <w:r w:rsidR="00E416C9">
        <w:rPr>
          <w:bCs/>
          <w:color w:val="000000" w:themeColor="text1"/>
          <w:sz w:val="20"/>
          <w:szCs w:val="20"/>
          <w:lang w:val="en-US"/>
        </w:rPr>
        <w:t>In addition, and most importantly for his goal to implement translational research, h</w:t>
      </w:r>
      <w:r w:rsidRPr="00E349C7">
        <w:rPr>
          <w:bCs/>
          <w:color w:val="000000" w:themeColor="text1"/>
          <w:sz w:val="20"/>
          <w:szCs w:val="20"/>
          <w:lang w:val="en-US"/>
        </w:rPr>
        <w:t>uman intervention tria</w:t>
      </w:r>
      <w:r>
        <w:rPr>
          <w:bCs/>
          <w:color w:val="000000" w:themeColor="text1"/>
          <w:sz w:val="20"/>
          <w:szCs w:val="20"/>
          <w:lang w:val="en-US"/>
        </w:rPr>
        <w:t>ls support the mechanistic studies in models and aim at defining the relevance</w:t>
      </w:r>
      <w:r w:rsidRPr="00E349C7">
        <w:rPr>
          <w:bCs/>
          <w:color w:val="000000" w:themeColor="text1"/>
          <w:sz w:val="20"/>
          <w:szCs w:val="20"/>
          <w:lang w:val="en-US"/>
        </w:rPr>
        <w:t xml:space="preserve"> </w:t>
      </w:r>
      <w:r>
        <w:rPr>
          <w:bCs/>
          <w:color w:val="000000" w:themeColor="text1"/>
          <w:sz w:val="20"/>
          <w:szCs w:val="20"/>
          <w:lang w:val="en-US"/>
        </w:rPr>
        <w:t>of microbiome signatures in healthy populations (prospective cohort KORA and infants) and patients (IBD</w:t>
      </w:r>
      <w:r w:rsidR="00404B3F">
        <w:rPr>
          <w:bCs/>
          <w:color w:val="000000" w:themeColor="text1"/>
          <w:sz w:val="20"/>
          <w:szCs w:val="20"/>
          <w:lang w:val="en-US"/>
        </w:rPr>
        <w:t xml:space="preserve"> and CRC</w:t>
      </w:r>
      <w:r>
        <w:rPr>
          <w:bCs/>
          <w:color w:val="000000" w:themeColor="text1"/>
          <w:sz w:val="20"/>
          <w:szCs w:val="20"/>
          <w:lang w:val="en-US"/>
        </w:rPr>
        <w:t>)</w:t>
      </w:r>
      <w:r w:rsidRPr="00E349C7">
        <w:rPr>
          <w:bCs/>
          <w:color w:val="000000" w:themeColor="text1"/>
          <w:sz w:val="20"/>
          <w:szCs w:val="20"/>
          <w:lang w:val="en-US"/>
        </w:rPr>
        <w:t xml:space="preserve">. </w:t>
      </w:r>
    </w:p>
    <w:p w:rsidR="00404B3F" w:rsidRDefault="00404B3F" w:rsidP="004C2CB6">
      <w:pPr>
        <w:autoSpaceDE w:val="0"/>
        <w:autoSpaceDN w:val="0"/>
        <w:adjustRightInd w:val="0"/>
        <w:spacing w:after="0" w:line="240" w:lineRule="auto"/>
        <w:jc w:val="both"/>
        <w:rPr>
          <w:bCs/>
          <w:color w:val="000000" w:themeColor="text1"/>
          <w:sz w:val="20"/>
          <w:szCs w:val="20"/>
          <w:lang w:val="en-US"/>
        </w:rPr>
      </w:pPr>
    </w:p>
    <w:p w:rsidR="001C1685" w:rsidRDefault="00404B3F" w:rsidP="004C2CB6">
      <w:pPr>
        <w:autoSpaceDE w:val="0"/>
        <w:autoSpaceDN w:val="0"/>
        <w:adjustRightInd w:val="0"/>
        <w:spacing w:after="0" w:line="240" w:lineRule="auto"/>
        <w:jc w:val="both"/>
        <w:rPr>
          <w:bCs/>
          <w:color w:val="000000" w:themeColor="text1"/>
          <w:sz w:val="20"/>
          <w:szCs w:val="20"/>
          <w:lang w:val="en-US"/>
        </w:rPr>
      </w:pPr>
      <w:r>
        <w:rPr>
          <w:bCs/>
          <w:color w:val="000000" w:themeColor="text1"/>
          <w:sz w:val="20"/>
          <w:szCs w:val="20"/>
          <w:lang w:val="en-US"/>
        </w:rPr>
        <w:t xml:space="preserve">Prof. Haller established in the past years a comprehensive research program to unravel the role of the gut microbiome in health and disease. </w:t>
      </w:r>
      <w:r w:rsidR="00534483">
        <w:rPr>
          <w:bCs/>
          <w:color w:val="000000" w:themeColor="text1"/>
          <w:sz w:val="20"/>
          <w:szCs w:val="20"/>
          <w:lang w:val="en-US"/>
        </w:rPr>
        <w:t>Under the Directorship of Prof. Haller t</w:t>
      </w:r>
      <w:r>
        <w:rPr>
          <w:bCs/>
          <w:color w:val="000000" w:themeColor="text1"/>
          <w:sz w:val="20"/>
          <w:szCs w:val="20"/>
          <w:lang w:val="en-US"/>
        </w:rPr>
        <w:t xml:space="preserve">his program is </w:t>
      </w:r>
      <w:r w:rsidR="00534483">
        <w:rPr>
          <w:bCs/>
          <w:color w:val="000000" w:themeColor="text1"/>
          <w:sz w:val="20"/>
          <w:szCs w:val="20"/>
          <w:lang w:val="en-US"/>
        </w:rPr>
        <w:t xml:space="preserve">now </w:t>
      </w:r>
      <w:r>
        <w:rPr>
          <w:bCs/>
          <w:color w:val="000000" w:themeColor="text1"/>
          <w:sz w:val="20"/>
          <w:szCs w:val="20"/>
          <w:lang w:val="en-US"/>
        </w:rPr>
        <w:t xml:space="preserve">integrated into </w:t>
      </w:r>
      <w:r w:rsidR="00E416C9">
        <w:rPr>
          <w:bCs/>
          <w:color w:val="000000" w:themeColor="text1"/>
          <w:sz w:val="20"/>
          <w:szCs w:val="20"/>
          <w:lang w:val="en-US"/>
        </w:rPr>
        <w:t xml:space="preserve">the </w:t>
      </w:r>
      <w:r>
        <w:rPr>
          <w:bCs/>
          <w:color w:val="000000" w:themeColor="text1"/>
          <w:sz w:val="20"/>
          <w:szCs w:val="20"/>
          <w:lang w:val="en-US"/>
        </w:rPr>
        <w:t>TUM cooperate research center ZIEL –</w:t>
      </w:r>
      <w:r w:rsidR="001C1685">
        <w:rPr>
          <w:bCs/>
          <w:color w:val="000000" w:themeColor="text1"/>
          <w:sz w:val="20"/>
          <w:szCs w:val="20"/>
          <w:lang w:val="en-US"/>
        </w:rPr>
        <w:t xml:space="preserve"> Institute for Food &amp; H</w:t>
      </w:r>
      <w:r>
        <w:rPr>
          <w:bCs/>
          <w:color w:val="000000" w:themeColor="text1"/>
          <w:sz w:val="20"/>
          <w:szCs w:val="20"/>
          <w:lang w:val="en-US"/>
        </w:rPr>
        <w:t>ealth</w:t>
      </w:r>
      <w:r w:rsidR="001C1685">
        <w:rPr>
          <w:bCs/>
          <w:color w:val="000000" w:themeColor="text1"/>
          <w:sz w:val="20"/>
          <w:szCs w:val="20"/>
          <w:lang w:val="en-US"/>
        </w:rPr>
        <w:t>.</w:t>
      </w:r>
      <w:r w:rsidR="00534483">
        <w:rPr>
          <w:bCs/>
          <w:color w:val="000000" w:themeColor="text1"/>
          <w:sz w:val="20"/>
          <w:szCs w:val="20"/>
          <w:lang w:val="en-US"/>
        </w:rPr>
        <w:t xml:space="preserve"> </w:t>
      </w:r>
      <w:r w:rsidR="001C1685">
        <w:rPr>
          <w:bCs/>
          <w:color w:val="000000" w:themeColor="text1"/>
          <w:sz w:val="20"/>
          <w:szCs w:val="20"/>
          <w:lang w:val="en-US"/>
        </w:rPr>
        <w:t>Novel infrastructure and technology platforms, including microbiome-related next-generation sequencing (NGS) and gnotobiotic mouse housing, are established and allow cutting-edge research at the interface of nutrition science and biomedicine</w:t>
      </w:r>
      <w:r>
        <w:rPr>
          <w:bCs/>
          <w:color w:val="000000" w:themeColor="text1"/>
          <w:sz w:val="20"/>
          <w:szCs w:val="20"/>
          <w:lang w:val="en-US"/>
        </w:rPr>
        <w:t>.</w:t>
      </w:r>
      <w:r w:rsidR="008622BD">
        <w:rPr>
          <w:bCs/>
          <w:color w:val="000000" w:themeColor="text1"/>
          <w:sz w:val="20"/>
          <w:szCs w:val="20"/>
          <w:lang w:val="en-US"/>
        </w:rPr>
        <w:t xml:space="preserve"> </w:t>
      </w:r>
    </w:p>
    <w:p w:rsidR="003962E6" w:rsidRDefault="003962E6">
      <w:pPr>
        <w:rPr>
          <w:rFonts w:eastAsia="Times New Roman"/>
          <w:b/>
          <w:color w:val="000000" w:themeColor="text1"/>
          <w:sz w:val="24"/>
          <w:szCs w:val="24"/>
          <w:lang w:val="en-GB" w:eastAsia="de-DE"/>
        </w:rPr>
      </w:pPr>
    </w:p>
    <w:sectPr w:rsidR="003962E6" w:rsidSect="00707868">
      <w:pgSz w:w="11900" w:h="16840" w:code="9"/>
      <w:pgMar w:top="1418" w:right="1418" w:bottom="1134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UM Neue Helvetica 55 Regular">
    <w:altName w:val="Arial"/>
    <w:charset w:val="00"/>
    <w:family w:val="swiss"/>
    <w:pitch w:val="variable"/>
    <w:sig w:usb0="00000001" w:usb1="5000204A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Mincho">
    <w:altName w:val="MS Gothic"/>
    <w:charset w:val="80"/>
    <w:family w:val="roma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3435B"/>
    <w:multiLevelType w:val="hybridMultilevel"/>
    <w:tmpl w:val="8ADED4DA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AD34AB2"/>
    <w:multiLevelType w:val="hybridMultilevel"/>
    <w:tmpl w:val="C8BA04D0"/>
    <w:lvl w:ilvl="0" w:tplc="FF60AF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B498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DE8C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186A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F8E2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5870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A40D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F2AF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54E8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B860AD"/>
    <w:multiLevelType w:val="hybridMultilevel"/>
    <w:tmpl w:val="DAC41B58"/>
    <w:lvl w:ilvl="0" w:tplc="805A9D46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576FD"/>
    <w:multiLevelType w:val="hybridMultilevel"/>
    <w:tmpl w:val="1B34F33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F00C17"/>
    <w:multiLevelType w:val="hybridMultilevel"/>
    <w:tmpl w:val="BD4802DC"/>
    <w:lvl w:ilvl="0" w:tplc="33B4F7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725802"/>
    <w:multiLevelType w:val="hybridMultilevel"/>
    <w:tmpl w:val="98EE6B2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684FC3"/>
    <w:multiLevelType w:val="hybridMultilevel"/>
    <w:tmpl w:val="93D60C3C"/>
    <w:lvl w:ilvl="0" w:tplc="04070003">
      <w:start w:val="1"/>
      <w:numFmt w:val="bullet"/>
      <w:lvlText w:val="o"/>
      <w:lvlJc w:val="left"/>
      <w:pPr>
        <w:ind w:left="77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6F1D0345"/>
    <w:multiLevelType w:val="hybridMultilevel"/>
    <w:tmpl w:val="1C90467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5B15C8"/>
    <w:multiLevelType w:val="hybridMultilevel"/>
    <w:tmpl w:val="A9BE5306"/>
    <w:lvl w:ilvl="0" w:tplc="5D4A35C8">
      <w:start w:val="1"/>
      <w:numFmt w:val="decimal"/>
      <w:pStyle w:val="PublicationsCV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3B3C0B"/>
    <w:multiLevelType w:val="hybridMultilevel"/>
    <w:tmpl w:val="656C58FC"/>
    <w:lvl w:ilvl="0" w:tplc="304C5F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ACA0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E894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02AA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F442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7042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4858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A4B3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C4F9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7"/>
  </w:num>
  <w:num w:numId="5">
    <w:abstractNumId w:val="5"/>
  </w:num>
  <w:num w:numId="6">
    <w:abstractNumId w:val="6"/>
  </w:num>
  <w:num w:numId="7">
    <w:abstractNumId w:val="4"/>
  </w:num>
  <w:num w:numId="8">
    <w:abstractNumId w:val="3"/>
  </w:num>
  <w:num w:numId="9">
    <w:abstractNumId w:val="0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hyphenationZone w:val="425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868"/>
    <w:rsid w:val="00062CF2"/>
    <w:rsid w:val="0010580D"/>
    <w:rsid w:val="0010610B"/>
    <w:rsid w:val="001171D5"/>
    <w:rsid w:val="001C1685"/>
    <w:rsid w:val="001C394A"/>
    <w:rsid w:val="00200671"/>
    <w:rsid w:val="002366A0"/>
    <w:rsid w:val="002B7F13"/>
    <w:rsid w:val="003962E6"/>
    <w:rsid w:val="003E116B"/>
    <w:rsid w:val="003E59F8"/>
    <w:rsid w:val="00404B3F"/>
    <w:rsid w:val="004C2CB6"/>
    <w:rsid w:val="00534483"/>
    <w:rsid w:val="00562867"/>
    <w:rsid w:val="005C4EEB"/>
    <w:rsid w:val="00654343"/>
    <w:rsid w:val="006969FB"/>
    <w:rsid w:val="006B6D9A"/>
    <w:rsid w:val="006C240C"/>
    <w:rsid w:val="00707868"/>
    <w:rsid w:val="00816C53"/>
    <w:rsid w:val="00817D48"/>
    <w:rsid w:val="008622BD"/>
    <w:rsid w:val="00995F1A"/>
    <w:rsid w:val="009D6708"/>
    <w:rsid w:val="00BC6DBB"/>
    <w:rsid w:val="00BF0B94"/>
    <w:rsid w:val="00DD1B90"/>
    <w:rsid w:val="00E416C9"/>
    <w:rsid w:val="00E47913"/>
    <w:rsid w:val="00F33A56"/>
    <w:rsid w:val="00FB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2A35F"/>
  <w15:chartTrackingRefBased/>
  <w15:docId w15:val="{2CB76C95-6795-421E-B772-B060B05F6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54343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ublicationsCV">
    <w:name w:val="Publications CV"/>
    <w:basedOn w:val="Standaard"/>
    <w:autoRedefine/>
    <w:qFormat/>
    <w:rsid w:val="00200671"/>
    <w:pPr>
      <w:numPr>
        <w:numId w:val="1"/>
      </w:numPr>
      <w:tabs>
        <w:tab w:val="left" w:pos="709"/>
      </w:tabs>
      <w:spacing w:after="0" w:line="240" w:lineRule="auto"/>
      <w:ind w:left="709" w:hanging="709"/>
      <w:jc w:val="both"/>
    </w:pPr>
    <w:rPr>
      <w:rFonts w:ascii="TUM Neue Helvetica 55 Regular" w:eastAsia="Times New Roman" w:hAnsi="TUM Neue Helvetica 55 Regular" w:cs="Times New Roman"/>
      <w:sz w:val="20"/>
      <w:szCs w:val="20"/>
      <w:lang w:val="en-GB" w:eastAsia="de-DE"/>
    </w:rPr>
  </w:style>
  <w:style w:type="paragraph" w:customStyle="1" w:styleId="FormatvorlageProfilLinks0cmHngend317cm">
    <w:name w:val="Formatvorlage Profil + Links:  0 cm Hängend:  317 cm"/>
    <w:basedOn w:val="Standaard"/>
    <w:rsid w:val="009D6708"/>
    <w:pPr>
      <w:spacing w:after="0" w:line="240" w:lineRule="auto"/>
    </w:pPr>
    <w:rPr>
      <w:rFonts w:eastAsia="Times New Roman" w:cs="Times New Roman"/>
      <w:szCs w:val="20"/>
      <w:lang w:val="en-GB" w:eastAsia="de-DE"/>
    </w:rPr>
  </w:style>
  <w:style w:type="character" w:customStyle="1" w:styleId="jrnl">
    <w:name w:val="jrnl"/>
    <w:basedOn w:val="Standaardalinea-lettertype"/>
    <w:rsid w:val="009D6708"/>
  </w:style>
  <w:style w:type="paragraph" w:styleId="Lijstalinea">
    <w:name w:val="List Paragraph"/>
    <w:basedOn w:val="Standaard"/>
    <w:uiPriority w:val="34"/>
    <w:qFormat/>
    <w:rsid w:val="009D6708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table" w:styleId="Tabelraster">
    <w:name w:val="Table Grid"/>
    <w:basedOn w:val="Standaardtabel"/>
    <w:rsid w:val="009D6708"/>
    <w:pPr>
      <w:spacing w:after="0" w:line="240" w:lineRule="auto"/>
    </w:pPr>
    <w:rPr>
      <w:rFonts w:ascii="Times" w:eastAsia="Times" w:hAnsi="Times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65434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sc2">
    <w:name w:val="desc2"/>
    <w:basedOn w:val="Standaard"/>
    <w:rsid w:val="00654343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de-DE"/>
    </w:rPr>
  </w:style>
  <w:style w:type="character" w:styleId="Hyperlink">
    <w:name w:val="Hyperlink"/>
    <w:basedOn w:val="Standaardalinea-lettertype"/>
    <w:uiPriority w:val="99"/>
    <w:unhideWhenUsed/>
    <w:rsid w:val="00654343"/>
    <w:rPr>
      <w:strike w:val="0"/>
      <w:dstrike w:val="0"/>
      <w:color w:val="005A84"/>
      <w:u w:val="none"/>
      <w:effect w:val="none"/>
    </w:rPr>
  </w:style>
  <w:style w:type="paragraph" w:styleId="Voettekst">
    <w:name w:val="footer"/>
    <w:basedOn w:val="Standaard"/>
    <w:link w:val="VoettekstChar"/>
    <w:uiPriority w:val="99"/>
    <w:rsid w:val="00654343"/>
    <w:pPr>
      <w:widowControl w:val="0"/>
      <w:tabs>
        <w:tab w:val="center" w:pos="4536"/>
        <w:tab w:val="right" w:pos="9072"/>
      </w:tabs>
      <w:spacing w:before="120" w:after="0" w:line="360" w:lineRule="auto"/>
      <w:jc w:val="both"/>
    </w:pPr>
    <w:rPr>
      <w:rFonts w:eastAsia="Times New Roman" w:cs="Times New Roman"/>
      <w:szCs w:val="20"/>
      <w:lang w:val="en-GB" w:eastAsia="de-DE"/>
    </w:rPr>
  </w:style>
  <w:style w:type="character" w:customStyle="1" w:styleId="VoettekstChar">
    <w:name w:val="Voettekst Char"/>
    <w:basedOn w:val="Standaardalinea-lettertype"/>
    <w:link w:val="Voettekst"/>
    <w:uiPriority w:val="99"/>
    <w:rsid w:val="00654343"/>
    <w:rPr>
      <w:rFonts w:eastAsia="Times New Roman" w:cs="Times New Roman"/>
      <w:szCs w:val="20"/>
      <w:lang w:val="en-GB" w:eastAsia="de-DE"/>
    </w:rPr>
  </w:style>
  <w:style w:type="paragraph" w:styleId="HTML-voorafopgemaakt">
    <w:name w:val="HTML Preformatted"/>
    <w:basedOn w:val="Standaard"/>
    <w:link w:val="HTML-voorafopgemaaktChar"/>
    <w:rsid w:val="006543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 w:after="0" w:line="360" w:lineRule="auto"/>
      <w:jc w:val="both"/>
    </w:pPr>
    <w:rPr>
      <w:rFonts w:ascii="Courier New" w:eastAsia="Times New Roman" w:hAnsi="Courier New" w:cs="Times New Roman"/>
      <w:sz w:val="20"/>
      <w:szCs w:val="20"/>
      <w:lang w:val="en-GB" w:eastAsia="de-DE"/>
    </w:rPr>
  </w:style>
  <w:style w:type="character" w:customStyle="1" w:styleId="HTML-voorafopgemaaktChar">
    <w:name w:val="HTML - vooraf opgemaakt Char"/>
    <w:basedOn w:val="Standaardalinea-lettertype"/>
    <w:link w:val="HTML-voorafopgemaakt"/>
    <w:rsid w:val="00654343"/>
    <w:rPr>
      <w:rFonts w:ascii="Courier New" w:eastAsia="Times New Roman" w:hAnsi="Courier New" w:cs="Times New Roman"/>
      <w:sz w:val="20"/>
      <w:szCs w:val="20"/>
      <w:lang w:val="en-GB" w:eastAsia="de-DE"/>
    </w:rPr>
  </w:style>
  <w:style w:type="paragraph" w:customStyle="1" w:styleId="PlainText1">
    <w:name w:val="Plain Text1"/>
    <w:basedOn w:val="Standaard"/>
    <w:rsid w:val="0065434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de-DE"/>
    </w:rPr>
  </w:style>
  <w:style w:type="paragraph" w:styleId="Plattetekst">
    <w:name w:val="Body Text"/>
    <w:basedOn w:val="Standaard"/>
    <w:link w:val="PlattetekstChar"/>
    <w:uiPriority w:val="99"/>
    <w:rsid w:val="00654343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de-DE"/>
    </w:rPr>
  </w:style>
  <w:style w:type="character" w:customStyle="1" w:styleId="PlattetekstChar">
    <w:name w:val="Platte tekst Char"/>
    <w:basedOn w:val="Standaardalinea-lettertype"/>
    <w:link w:val="Plattetekst"/>
    <w:uiPriority w:val="99"/>
    <w:rsid w:val="00654343"/>
    <w:rPr>
      <w:rFonts w:ascii="Times New Roman" w:eastAsia="Times New Roman" w:hAnsi="Times New Roman" w:cs="Times New Roman"/>
      <w:b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47C9F-4C0A-4AB4-948F-8E20AA9D1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770</Words>
  <Characters>4237</Characters>
  <Application>Microsoft Office Word</Application>
  <DocSecurity>0</DocSecurity>
  <Lines>35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Pieter Rondou</cp:lastModifiedBy>
  <cp:revision>3</cp:revision>
  <dcterms:created xsi:type="dcterms:W3CDTF">2018-12-19T10:16:00Z</dcterms:created>
  <dcterms:modified xsi:type="dcterms:W3CDTF">2018-12-19T10:18:00Z</dcterms:modified>
</cp:coreProperties>
</file>